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jc w:val="center"/>
        <w:rPr>
          <w:sz w:val="26"/>
          <w:szCs w:val="26"/>
        </w:rPr>
      </w:pPr>
      <w:bookmarkStart w:colFirst="0" w:colLast="0" w:name="_heading=h.bmqdayqnrx73" w:id="0"/>
      <w:bookmarkEnd w:id="0"/>
      <w:r w:rsidDel="00000000" w:rsidR="00000000" w:rsidRPr="00000000">
        <w:rPr>
          <w:sz w:val="26"/>
          <w:szCs w:val="26"/>
          <w:rtl w:val="0"/>
        </w:rPr>
        <w:t xml:space="preserve">SCENARIUSZ GODZINY WYCHOWAWCZEJ</w:t>
      </w:r>
    </w:p>
    <w:p w:rsidR="00000000" w:rsidDel="00000000" w:rsidP="00000000" w:rsidRDefault="00000000" w:rsidRPr="00000000" w14:paraId="00000002">
      <w:pPr>
        <w:pStyle w:val="Heading2"/>
        <w:rPr/>
      </w:pPr>
      <w:r w:rsidDel="00000000" w:rsidR="00000000" w:rsidRPr="00000000">
        <w:rPr>
          <w:rtl w:val="0"/>
        </w:rPr>
        <w:t xml:space="preserve">Temat 4: „Zawodowe rendez-vous - Zawód bez filtra”</w:t>
      </w:r>
    </w:p>
    <w:p w:rsidR="00000000" w:rsidDel="00000000" w:rsidP="00000000" w:rsidRDefault="00000000" w:rsidRPr="00000000" w14:paraId="00000003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Cel ogólny: Konfrontacja wyobrażeń o zawodach z rzeczywistością rynkową oraz weryfikacja, jak wybrane wartości (z S1 i S2) sprawdzają się w codziennej pracy dorosłych.</w:t>
      </w:r>
    </w:p>
    <w:p w:rsidR="00000000" w:rsidDel="00000000" w:rsidP="00000000" w:rsidRDefault="00000000" w:rsidRPr="00000000" w14:paraId="00000004">
      <w:pPr>
        <w:pStyle w:val="Heading3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Szczegółowe cele zajęć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Po zajęciach uczeń/uczennica: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potrafi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formułować</w:t>
      </w: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 krytyczne pytania dotyczące realiów pracy (koszty emocjonalne, czasowe, finansowe).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rozumie różnicę między „wizerunkiem zawodu” a jego codzienną praktyką.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potrafi wskazać, która z jego TOP 3 wartości jest najtrudniejsza do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realizacji </w:t>
      </w: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w dorosłym życiu zawodowym.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360"/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doskonali</w:t>
      </w: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 umiejętność prowadzenia wywiadu i aktywnego słuchania w dynamicznych warunkach.</w:t>
      </w:r>
    </w:p>
    <w:p w:rsidR="00000000" w:rsidDel="00000000" w:rsidP="00000000" w:rsidRDefault="00000000" w:rsidRPr="00000000" w14:paraId="0000000A">
      <w:pPr>
        <w:pStyle w:val="Heading3"/>
        <w:rPr/>
      </w:pPr>
      <w:r w:rsidDel="00000000" w:rsidR="00000000" w:rsidRPr="00000000">
        <w:rPr>
          <w:rtl w:val="0"/>
        </w:rPr>
        <w:t xml:space="preserve">Informacje wprowadzające</w:t>
      </w:r>
    </w:p>
    <w:p w:rsidR="00000000" w:rsidDel="00000000" w:rsidP="00000000" w:rsidRDefault="00000000" w:rsidRPr="00000000" w14:paraId="0000000B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878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376"/>
        <w:gridCol w:w="6404"/>
        <w:tblGridChange w:id="0">
          <w:tblGrid>
            <w:gridCol w:w="2376"/>
            <w:gridCol w:w="6404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C">
            <w:pPr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Dla kogo</w:t>
            </w:r>
          </w:p>
        </w:tc>
        <w:tc>
          <w:tcPr/>
          <w:p w:rsidR="00000000" w:rsidDel="00000000" w:rsidP="00000000" w:rsidRDefault="00000000" w:rsidRPr="00000000" w14:paraId="0000000D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Uczniowie i uczennice klas 7–8 szkoły podstawowej</w:t>
            </w:r>
          </w:p>
          <w:p w:rsidR="00000000" w:rsidDel="00000000" w:rsidP="00000000" w:rsidRDefault="00000000" w:rsidRPr="00000000" w14:paraId="0000000E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F">
            <w:pPr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Czas trwania</w:t>
            </w:r>
          </w:p>
        </w:tc>
        <w:tc>
          <w:tcPr/>
          <w:p w:rsidR="00000000" w:rsidDel="00000000" w:rsidP="00000000" w:rsidRDefault="00000000" w:rsidRPr="00000000" w14:paraId="00000010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90 min (2x45 minut) Wydłużenie czasu zajęć do dwóch jednostek lekcyjnych jest konieczne ponieważ obejmuje kilka etapów: przygotowanie uczennic i uczniów do rozmowy, właściwe spotkanie z gośćmi oraz podsumowanie i refleksję. Uczennice i uczniowie potrzebują czasu, aby przygotować pytania, wysłuchać odpowiedzi zaproszonych osób oraz odnieść zdobyte informacje do własnych planów edukacyjnych. Dłuższy czas zajęć sprzyja także swobodnej rozmowie i aktywnemu udziałowi uczennic i uczniów.</w:t>
            </w:r>
          </w:p>
          <w:p w:rsidR="00000000" w:rsidDel="00000000" w:rsidP="00000000" w:rsidRDefault="00000000" w:rsidRPr="00000000" w14:paraId="00000011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2">
            <w:pPr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Metody pracy</w:t>
            </w:r>
          </w:p>
        </w:tc>
        <w:tc>
          <w:tcPr/>
          <w:p w:rsidR="00000000" w:rsidDel="00000000" w:rsidP="00000000" w:rsidRDefault="00000000" w:rsidRPr="00000000" w14:paraId="00000013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Metody podające: 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mini-wykład (wprowadzenie do idei „Zawodowego rendez-vous”); mini-podsumowania po każdej rundzie rotacji; komentarz facylitujący wychowawcy. </w:t>
            </w:r>
          </w:p>
          <w:p w:rsidR="00000000" w:rsidDel="00000000" w:rsidP="00000000" w:rsidRDefault="00000000" w:rsidRPr="00000000" w14:paraId="00000014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Metody programowane: 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praca z kartą pracy „Detektyw Realu”; praca z „Pudełkiem Prowokacji”.</w:t>
            </w:r>
          </w:p>
          <w:p w:rsidR="00000000" w:rsidDel="00000000" w:rsidP="00000000" w:rsidRDefault="00000000" w:rsidRPr="00000000" w14:paraId="00000015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Metody poszukujące: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metoda dialogowa (wywiady z gośćmi); analiza dowodowa (konfrontacja wyobrażeń z realnymi historiami zawodowymi); dyskusja moderowana (podsumowanie „Zderzenie z szybą”); symulacja „Zawodowe rendez-vous”.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6">
            <w:pPr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Formy pracy</w:t>
            </w:r>
          </w:p>
        </w:tc>
        <w:tc>
          <w:tcPr/>
          <w:p w:rsidR="00000000" w:rsidDel="00000000" w:rsidP="00000000" w:rsidRDefault="00000000" w:rsidRPr="00000000" w14:paraId="00000017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Indywidualna, w grupach, zbiorowa.</w:t>
            </w:r>
          </w:p>
          <w:p w:rsidR="00000000" w:rsidDel="00000000" w:rsidP="00000000" w:rsidRDefault="00000000" w:rsidRPr="00000000" w14:paraId="00000018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9">
            <w:pPr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Środki dydaktyczne</w:t>
            </w:r>
          </w:p>
        </w:tc>
        <w:tc>
          <w:tcPr/>
          <w:p w:rsidR="00000000" w:rsidDel="00000000" w:rsidP="00000000" w:rsidRDefault="00000000" w:rsidRPr="00000000" w14:paraId="0000001A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Narzędzia: 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Pudełko „Przyszłość – wersja demo”, </w:t>
            </w:r>
          </w:p>
          <w:p w:rsidR="00000000" w:rsidDel="00000000" w:rsidP="00000000" w:rsidRDefault="00000000" w:rsidRPr="00000000" w14:paraId="0000001B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3 cytaty-prowokacje, </w:t>
            </w:r>
          </w:p>
          <w:p w:rsidR="00000000" w:rsidDel="00000000" w:rsidP="00000000" w:rsidRDefault="00000000" w:rsidRPr="00000000" w14:paraId="0000001C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karty pytań „Detektyw Realu”, </w:t>
            </w:r>
          </w:p>
          <w:p w:rsidR="00000000" w:rsidDel="00000000" w:rsidP="00000000" w:rsidRDefault="00000000" w:rsidRPr="00000000" w14:paraId="0000001D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stoper/timer,</w:t>
            </w:r>
          </w:p>
          <w:p w:rsidR="00000000" w:rsidDel="00000000" w:rsidP="00000000" w:rsidRDefault="00000000" w:rsidRPr="00000000" w14:paraId="0000001E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małe kartki do zebrania fedbacku.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F">
            <w:pPr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Wskazówki organizacyjne</w:t>
            </w:r>
          </w:p>
        </w:tc>
        <w:tc>
          <w:tcPr/>
          <w:p w:rsidR="00000000" w:rsidDel="00000000" w:rsidP="00000000" w:rsidRDefault="00000000" w:rsidRPr="00000000" w14:paraId="00000020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Aranżacja przestrzeni: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Ustawienie ławek w formie 4-5 (zależnie od liczby gości) „stacji” lub wysp, przy których zasiądą goście. Należy zapewnić wolne przejścia dla grup uczniów rotujących między stanowiskami. </w:t>
            </w:r>
          </w:p>
          <w:p w:rsidR="00000000" w:rsidDel="00000000" w:rsidP="00000000" w:rsidRDefault="00000000" w:rsidRPr="00000000" w14:paraId="00000021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Bezpieczeństwo emocjonalne: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Nauczyciel dba, aby pytania uczennic i uczniów były dociekliwe, ale pełne szacunku. Obowiązuje zasada dobrowolności dzielenia się wnioskami na forum. </w:t>
            </w:r>
          </w:p>
          <w:p w:rsidR="00000000" w:rsidDel="00000000" w:rsidP="00000000" w:rsidRDefault="00000000" w:rsidRPr="00000000" w14:paraId="00000022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Zarządzanie czasem: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Niezbędny jest widoczny timer lub stoper oraz głośny sygnał dźwiękowy (dzwonek, gong), który będzie wyznaczał koniec rundy „Spotkań z gośćmi”.</w:t>
            </w:r>
          </w:p>
          <w:p w:rsidR="00000000" w:rsidDel="00000000" w:rsidP="00000000" w:rsidRDefault="00000000" w:rsidRPr="00000000" w14:paraId="00000023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Przygotowanie gości: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Przed lekcją warto krótko poinformować zaproszone osoby, aby odpowiadały szczerze, nie unikając mówienia o trudnościach i kosztach swojej pracy. </w:t>
            </w:r>
          </w:p>
          <w:p w:rsidR="00000000" w:rsidDel="00000000" w:rsidP="00000000" w:rsidRDefault="00000000" w:rsidRPr="00000000" w14:paraId="00000024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5">
            <w:pPr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Uwagi</w:t>
            </w:r>
          </w:p>
        </w:tc>
        <w:tc>
          <w:tcPr/>
          <w:p w:rsidR="00000000" w:rsidDel="00000000" w:rsidP="00000000" w:rsidRDefault="00000000" w:rsidRPr="00000000" w14:paraId="00000026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Scenariusz S4 stanowi kluczowy moment konfrontacji teorii z praktyką. Twoim zadaniem jest zaproszenie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4–5 gości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– lokalnych przedsiębiorców, rzemieślników lub pracowników z pobliskich zakładów pracy, którzy reprezentują różne ścieżki zawodowe (np. właściciel warsztatu, programista, pielęgniarka, urzędnik, grafik).</w:t>
              <w:br w:type="textWrapping"/>
              <w:t xml:space="preserve">Ważne jest, aby goście nie wygłaszali wykładów, lecz odpowiadali na pytania uczennic i uczniów w formule krótkich, 5-minutowych sesji. Jako wychowawca pełnisz rolę facylitatora – pilnujesz tempa, podsycasz ciekawość i dbasz, by rozmowy nie dotyczyły tylko suchych faktów, ale dotykały sfery wartości i realnych kosztów życia zawodowego. Jeśli zauważysz, że rozmowa „utyka” na pytaniach o zarobki, sprowokuj uczennice i uczniów do zapytania o to, co ich goście musieli poświęcić, by być w miejscu, w którym są dzisiaj.</w:t>
            </w:r>
          </w:p>
        </w:tc>
      </w:tr>
    </w:tbl>
    <w:p w:rsidR="00000000" w:rsidDel="00000000" w:rsidP="00000000" w:rsidRDefault="00000000" w:rsidRPr="00000000" w14:paraId="00000027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pStyle w:val="Heading3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PRZEBIEG ZAJĘĆ</w:t>
      </w:r>
    </w:p>
    <w:p w:rsidR="00000000" w:rsidDel="00000000" w:rsidP="00000000" w:rsidRDefault="00000000" w:rsidRPr="00000000" w14:paraId="00000029">
      <w:pPr>
        <w:pStyle w:val="Heading4"/>
        <w:rPr/>
      </w:pPr>
      <w:r w:rsidDel="00000000" w:rsidR="00000000" w:rsidRPr="00000000">
        <w:rPr>
          <w:i w:val="0"/>
          <w:iCs w:val="0"/>
          <w:sz w:val="26"/>
          <w:szCs w:val="26"/>
          <w:rtl w:val="0"/>
        </w:rPr>
        <w:t xml:space="preserve">ETAP 1. Pudełko Pandory (ok. 15 min)</w:t>
        <w:br w:type="textWrapping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Wejdź do klasy z zamkniętym, czarnym pudełkiem opisanym: „TWOJA PRZYSZŁOŚĆ – WERSJA DEMO. Otwierasz na własną odpowiedzialność”. Postaw je w widocznym miejscu. Poproś uczennice i uczniów do zastanowienia się, co dla nich oznacza sukces zawodowy - zanim otworzysz pudełko.</w:t>
      </w:r>
    </w:p>
    <w:p w:rsidR="00000000" w:rsidDel="00000000" w:rsidP="00000000" w:rsidRDefault="00000000" w:rsidRPr="00000000" w14:paraId="0000002B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Wyjmij z pudełka 3 duże karty z anonimowymi cytatami i przyklej je do tablicy (lub zapisz dużymi literami): </w:t>
      </w:r>
    </w:p>
    <w:p w:rsidR="00000000" w:rsidDel="00000000" w:rsidP="00000000" w:rsidRDefault="00000000" w:rsidRPr="00000000" w14:paraId="0000002C">
      <w:pPr>
        <w:numPr>
          <w:ilvl w:val="0"/>
          <w:numId w:val="5"/>
        </w:numPr>
        <w:spacing w:after="0" w:lineRule="auto"/>
        <w:ind w:left="720" w:hanging="360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„Zarabiam świetnie, ale moje dzieci widują mnie tylko na FaceTime. Czy to jest ten sukces?”</w:t>
      </w:r>
    </w:p>
    <w:p w:rsidR="00000000" w:rsidDel="00000000" w:rsidP="00000000" w:rsidRDefault="00000000" w:rsidRPr="00000000" w14:paraId="0000002D">
      <w:pPr>
        <w:numPr>
          <w:ilvl w:val="0"/>
          <w:numId w:val="5"/>
        </w:numPr>
        <w:spacing w:after="0" w:lineRule="auto"/>
        <w:ind w:left="720" w:hanging="360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„Robię to, co kocham, ale co miesiąc drżę, czy starczy na czynsz. Pasja ma swoją cenę.”</w:t>
      </w:r>
    </w:p>
    <w:p w:rsidR="00000000" w:rsidDel="00000000" w:rsidP="00000000" w:rsidRDefault="00000000" w:rsidRPr="00000000" w14:paraId="0000002E">
      <w:pPr>
        <w:numPr>
          <w:ilvl w:val="0"/>
          <w:numId w:val="5"/>
        </w:numPr>
        <w:ind w:left="720" w:hanging="360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„Wybrałem szkołę, bo koledzy tam szli. Dziś nienawidzę poniedziałków.”</w:t>
      </w:r>
    </w:p>
    <w:p w:rsidR="00000000" w:rsidDel="00000000" w:rsidP="00000000" w:rsidRDefault="00000000" w:rsidRPr="00000000" w14:paraId="0000002F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Zwróć się do klasy np. w taki sposób</w:t>
      </w:r>
      <w:r w:rsidDel="00000000" w:rsidR="00000000" w:rsidRPr="00000000">
        <w:rPr>
          <w:rFonts w:ascii="Calibri" w:cs="Calibri" w:eastAsia="Calibri" w:hAnsi="Calibri"/>
          <w:i w:val="1"/>
          <w:iCs w:val="1"/>
          <w:rtl w:val="0"/>
        </w:rPr>
        <w:t xml:space="preserve">: Folder reklamowy szkoły mówi o sukcesie. Ja dziś przyniosłam/łem Wam prawdę. Za chwilę spotkacie ludzi, którzy są w tej rzeczywistości. Nie pytajcie ich o to, co jest w Google. Zapytajcie o to, czego nikt nie pisze w ogłoszeniach o pracę.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pStyle w:val="Heading4"/>
        <w:rPr>
          <w:i w:val="0"/>
          <w:iCs w:val="0"/>
          <w:sz w:val="26"/>
          <w:szCs w:val="26"/>
        </w:rPr>
      </w:pPr>
      <w:r w:rsidDel="00000000" w:rsidR="00000000" w:rsidRPr="00000000">
        <w:rPr>
          <w:i w:val="0"/>
          <w:iCs w:val="0"/>
          <w:sz w:val="26"/>
          <w:szCs w:val="26"/>
          <w:rtl w:val="0"/>
        </w:rPr>
        <w:t xml:space="preserve">ETAP 2. Przygotowanie „Detektywów Realu” (ok. 15 min)</w:t>
      </w:r>
    </w:p>
    <w:p w:rsidR="00000000" w:rsidDel="00000000" w:rsidP="00000000" w:rsidRDefault="00000000" w:rsidRPr="00000000" w14:paraId="00000031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Połącz uczniów i uczennice  w mniejsze grupy (liczba grup musi odpowiadać liczbie zaproszonych gości), poproś, aby usiedli, przy ustawionych “wyspach” z ławek. Zostawcie jedno wolne krzesło dla gościa.</w:t>
      </w:r>
    </w:p>
    <w:p w:rsidR="00000000" w:rsidDel="00000000" w:rsidP="00000000" w:rsidRDefault="00000000" w:rsidRPr="00000000" w14:paraId="00000032">
      <w:pPr>
        <w:rPr>
          <w:rFonts w:ascii="Calibri" w:cs="Calibri" w:eastAsia="Calibri" w:hAnsi="Calibri"/>
          <w:i w:val="1"/>
          <w:iCs w:val="1"/>
          <w:color w:val="ff0000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Rozdaj karty pracy „Detektyw Realu” i poleć, aby każda grupa przygotowała 3 „Pytania bez filtra”. </w:t>
      </w:r>
      <w:r w:rsidDel="00000000" w:rsidR="00000000" w:rsidRPr="00000000">
        <w:rPr>
          <w:rFonts w:ascii="Calibri" w:cs="Calibri" w:eastAsia="Calibri" w:hAnsi="Calibri"/>
          <w:i w:val="1"/>
          <w:iCs w:val="1"/>
          <w:color w:val="ff0000"/>
          <w:rtl w:val="0"/>
        </w:rPr>
        <w:t xml:space="preserve">Załącznik nr 1. </w:t>
      </w:r>
    </w:p>
    <w:p w:rsidR="00000000" w:rsidDel="00000000" w:rsidP="00000000" w:rsidRDefault="00000000" w:rsidRPr="00000000" w14:paraId="00000033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Wprowadź twardą zasadę: Nie wolno pytać o zarobki. Szukamy tego, co ukryte.</w:t>
      </w:r>
    </w:p>
    <w:p w:rsidR="00000000" w:rsidDel="00000000" w:rsidP="00000000" w:rsidRDefault="00000000" w:rsidRPr="00000000" w14:paraId="00000034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Podpowiedz przykładowe pytania, jeśli grupy mają trudność: </w:t>
      </w:r>
    </w:p>
    <w:p w:rsidR="00000000" w:rsidDel="00000000" w:rsidP="00000000" w:rsidRDefault="00000000" w:rsidRPr="00000000" w14:paraId="00000035">
      <w:pPr>
        <w:numPr>
          <w:ilvl w:val="0"/>
          <w:numId w:val="14"/>
        </w:numPr>
        <w:spacing w:after="0" w:lineRule="auto"/>
        <w:ind w:left="1440" w:hanging="360"/>
        <w:rPr>
          <w:rFonts w:ascii="Calibri" w:cs="Calibri" w:eastAsia="Calibri" w:hAnsi="Calibri"/>
          <w:i w:val="1"/>
          <w:iCs w:val="1"/>
        </w:rPr>
      </w:pPr>
      <w:r w:rsidDel="00000000" w:rsidR="00000000" w:rsidRPr="00000000">
        <w:rPr>
          <w:rFonts w:ascii="Calibri" w:cs="Calibri" w:eastAsia="Calibri" w:hAnsi="Calibri"/>
          <w:i w:val="1"/>
          <w:iCs w:val="1"/>
          <w:rtl w:val="0"/>
        </w:rPr>
        <w:t xml:space="preserve">„Jaka wartość z Pana/Pani młodości najbardziej ucierpiała w tej pracy?”</w:t>
      </w:r>
    </w:p>
    <w:p w:rsidR="00000000" w:rsidDel="00000000" w:rsidP="00000000" w:rsidRDefault="00000000" w:rsidRPr="00000000" w14:paraId="00000036">
      <w:pPr>
        <w:numPr>
          <w:ilvl w:val="0"/>
          <w:numId w:val="14"/>
        </w:numPr>
        <w:spacing w:after="0" w:lineRule="auto"/>
        <w:ind w:left="1440" w:hanging="360"/>
        <w:rPr>
          <w:rFonts w:ascii="Calibri" w:cs="Calibri" w:eastAsia="Calibri" w:hAnsi="Calibri"/>
          <w:i w:val="1"/>
          <w:iCs w:val="1"/>
        </w:rPr>
      </w:pPr>
      <w:r w:rsidDel="00000000" w:rsidR="00000000" w:rsidRPr="00000000">
        <w:rPr>
          <w:rFonts w:ascii="Calibri" w:cs="Calibri" w:eastAsia="Calibri" w:hAnsi="Calibri"/>
          <w:i w:val="1"/>
          <w:iCs w:val="1"/>
          <w:rtl w:val="0"/>
        </w:rPr>
        <w:t xml:space="preserve">„Co jest najbardziej irytujące w Pana/Pani zawodzie?”</w:t>
      </w:r>
    </w:p>
    <w:p w:rsidR="00000000" w:rsidDel="00000000" w:rsidP="00000000" w:rsidRDefault="00000000" w:rsidRPr="00000000" w14:paraId="00000037">
      <w:pPr>
        <w:numPr>
          <w:ilvl w:val="0"/>
          <w:numId w:val="14"/>
        </w:numPr>
        <w:ind w:left="1440" w:hanging="360"/>
        <w:rPr>
          <w:rFonts w:ascii="Calibri" w:cs="Calibri" w:eastAsia="Calibri" w:hAnsi="Calibri"/>
          <w:i w:val="1"/>
          <w:iCs w:val="1"/>
        </w:rPr>
      </w:pPr>
      <w:r w:rsidDel="00000000" w:rsidR="00000000" w:rsidRPr="00000000">
        <w:rPr>
          <w:rFonts w:ascii="Calibri" w:cs="Calibri" w:eastAsia="Calibri" w:hAnsi="Calibri"/>
          <w:i w:val="1"/>
          <w:iCs w:val="1"/>
          <w:rtl w:val="0"/>
        </w:rPr>
        <w:t xml:space="preserve">„Ile razy chciał/a Pan/Pani rzucić to wszystko? Z jakich powodów”</w:t>
      </w:r>
    </w:p>
    <w:p w:rsidR="00000000" w:rsidDel="00000000" w:rsidP="00000000" w:rsidRDefault="00000000" w:rsidRPr="00000000" w14:paraId="00000038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Po około 5 min zakończ pracę. Zwróć uwagę, aby każda grupa miała wyznaczoną osobę notującą odpowiedzi. Podkreśl, że w czasie spotkania z gościem można zadawać różne pytania, zgodnie z przebiegiem rozmowy.</w:t>
      </w:r>
    </w:p>
    <w:p w:rsidR="00000000" w:rsidDel="00000000" w:rsidP="00000000" w:rsidRDefault="00000000" w:rsidRPr="00000000" w14:paraId="00000039">
      <w:pPr>
        <w:pStyle w:val="Heading4"/>
        <w:rPr/>
      </w:pPr>
      <w:r w:rsidDel="00000000" w:rsidR="00000000" w:rsidRPr="00000000">
        <w:rPr>
          <w:i w:val="0"/>
          <w:iCs w:val="0"/>
          <w:sz w:val="26"/>
          <w:szCs w:val="26"/>
          <w:rtl w:val="0"/>
        </w:rPr>
        <w:t xml:space="preserve">ETAP 3. Zawodowe rendez-vous  (ok. 40 min)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Wprowadź gości, na początku zaprezentuj ich i poproś ich o krótkie przedstawienie się (imię, zawód, czas pracy w zawodzie). Niech powiedzą jedno zdanie, które jest dla nich ważne, gdy myślą o swojej pracy. Następnie poproś o zajęcie miejsc w „wyspach” z ławek.</w:t>
      </w:r>
    </w:p>
    <w:p w:rsidR="00000000" w:rsidDel="00000000" w:rsidP="00000000" w:rsidRDefault="00000000" w:rsidRPr="00000000" w14:paraId="0000003B">
      <w:pPr>
        <w:rPr>
          <w:rFonts w:ascii="Calibri" w:cs="Calibri" w:eastAsia="Calibri" w:hAnsi="Calibri"/>
          <w:i w:val="1"/>
          <w:iCs w:val="1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Zwróć się do uczennic i uczniów: </w:t>
      </w:r>
      <w:r w:rsidDel="00000000" w:rsidR="00000000" w:rsidRPr="00000000">
        <w:rPr>
          <w:rFonts w:ascii="Calibri" w:cs="Calibri" w:eastAsia="Calibri" w:hAnsi="Calibri"/>
          <w:i w:val="1"/>
          <w:iCs w:val="1"/>
          <w:rtl w:val="0"/>
        </w:rPr>
        <w:t xml:space="preserve">Zanim zaczniemy, przypomnijmy zasady: </w:t>
      </w:r>
    </w:p>
    <w:p w:rsidR="00000000" w:rsidDel="00000000" w:rsidP="00000000" w:rsidRDefault="00000000" w:rsidRPr="00000000" w14:paraId="0000003C">
      <w:pPr>
        <w:numPr>
          <w:ilvl w:val="0"/>
          <w:numId w:val="11"/>
        </w:numPr>
        <w:spacing w:after="0" w:lineRule="auto"/>
        <w:ind w:left="144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i w:val="1"/>
          <w:iCs w:val="1"/>
          <w:rtl w:val="0"/>
        </w:rPr>
        <w:t xml:space="preserve">Każda runda trwa dokładnie 10 minut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(zależnie od liczby gości w sumie 40 min).</w:t>
      </w:r>
    </w:p>
    <w:p w:rsidR="00000000" w:rsidDel="00000000" w:rsidP="00000000" w:rsidRDefault="00000000" w:rsidRPr="00000000" w14:paraId="0000003D">
      <w:pPr>
        <w:numPr>
          <w:ilvl w:val="0"/>
          <w:numId w:val="11"/>
        </w:numPr>
        <w:spacing w:after="0" w:lineRule="auto"/>
        <w:ind w:left="1440" w:hanging="360"/>
        <w:rPr>
          <w:rFonts w:ascii="Calibri" w:cs="Calibri" w:eastAsia="Calibri" w:hAnsi="Calibri"/>
          <w:i w:val="1"/>
          <w:iCs w:val="1"/>
        </w:rPr>
      </w:pPr>
      <w:r w:rsidDel="00000000" w:rsidR="00000000" w:rsidRPr="00000000">
        <w:rPr>
          <w:rFonts w:ascii="Calibri" w:cs="Calibri" w:eastAsia="Calibri" w:hAnsi="Calibri"/>
          <w:i w:val="1"/>
          <w:iCs w:val="1"/>
          <w:rtl w:val="0"/>
        </w:rPr>
        <w:t xml:space="preserve">Zadajemy pytania, które wychodzą poza „ile się zarabia”.</w:t>
      </w:r>
    </w:p>
    <w:p w:rsidR="00000000" w:rsidDel="00000000" w:rsidP="00000000" w:rsidRDefault="00000000" w:rsidRPr="00000000" w14:paraId="0000003E">
      <w:pPr>
        <w:numPr>
          <w:ilvl w:val="0"/>
          <w:numId w:val="11"/>
        </w:numPr>
        <w:spacing w:after="0" w:lineRule="auto"/>
        <w:ind w:left="1440" w:hanging="360"/>
        <w:rPr>
          <w:rFonts w:ascii="Calibri" w:cs="Calibri" w:eastAsia="Calibri" w:hAnsi="Calibri"/>
          <w:i w:val="1"/>
          <w:iCs w:val="1"/>
        </w:rPr>
      </w:pPr>
      <w:r w:rsidDel="00000000" w:rsidR="00000000" w:rsidRPr="00000000">
        <w:rPr>
          <w:rFonts w:ascii="Calibri" w:cs="Calibri" w:eastAsia="Calibri" w:hAnsi="Calibri"/>
          <w:i w:val="1"/>
          <w:iCs w:val="1"/>
          <w:rtl w:val="0"/>
        </w:rPr>
        <w:t xml:space="preserve">Słuchamy uważnie – nie przerywamy.</w:t>
      </w:r>
    </w:p>
    <w:p w:rsidR="00000000" w:rsidDel="00000000" w:rsidP="00000000" w:rsidRDefault="00000000" w:rsidRPr="00000000" w14:paraId="0000003F">
      <w:pPr>
        <w:numPr>
          <w:ilvl w:val="0"/>
          <w:numId w:val="11"/>
        </w:numPr>
        <w:ind w:left="1440" w:hanging="360"/>
        <w:rPr>
          <w:rFonts w:ascii="Calibri" w:cs="Calibri" w:eastAsia="Calibri" w:hAnsi="Calibri"/>
          <w:i w:val="1"/>
          <w:iCs w:val="1"/>
        </w:rPr>
      </w:pPr>
      <w:r w:rsidDel="00000000" w:rsidR="00000000" w:rsidRPr="00000000">
        <w:rPr>
          <w:rFonts w:ascii="Calibri" w:cs="Calibri" w:eastAsia="Calibri" w:hAnsi="Calibri"/>
          <w:i w:val="1"/>
          <w:iCs w:val="1"/>
          <w:rtl w:val="0"/>
        </w:rPr>
        <w:t xml:space="preserve">Notujemy odpowiedzi – to będzie materiał do refleksji.”</w:t>
      </w:r>
    </w:p>
    <w:p w:rsidR="00000000" w:rsidDel="00000000" w:rsidP="00000000" w:rsidRDefault="00000000" w:rsidRPr="00000000" w14:paraId="00000040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Daj sygnał do rozpoczęcia pierwszej rundy wywiadów i uruchom stoper. Uczennice i uczniowie rozpoczynają rozmowę i zadają pytania.</w:t>
      </w:r>
    </w:p>
    <w:p w:rsidR="00000000" w:rsidDel="00000000" w:rsidP="00000000" w:rsidRDefault="00000000" w:rsidRPr="00000000" w14:paraId="00000041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Monitoruj przebieg rozmów. Chodź między grupami. Jeśli usłyszysz, że dyskusja staje się zbyt „grzeczna” lub powierzchowna, podejdź i podrzuć prowokujące pytanie, np.: </w:t>
      </w:r>
    </w:p>
    <w:p w:rsidR="00000000" w:rsidDel="00000000" w:rsidP="00000000" w:rsidRDefault="00000000" w:rsidRPr="00000000" w14:paraId="00000042">
      <w:pPr>
        <w:numPr>
          <w:ilvl w:val="0"/>
          <w:numId w:val="10"/>
        </w:numPr>
        <w:spacing w:after="0" w:lineRule="auto"/>
        <w:ind w:left="720" w:hanging="360"/>
        <w:rPr>
          <w:rFonts w:ascii="Calibri" w:cs="Calibri" w:eastAsia="Calibri" w:hAnsi="Calibri"/>
          <w:i w:val="1"/>
          <w:iCs w:val="1"/>
        </w:rPr>
      </w:pPr>
      <w:r w:rsidDel="00000000" w:rsidR="00000000" w:rsidRPr="00000000">
        <w:rPr>
          <w:rFonts w:ascii="Calibri" w:cs="Calibri" w:eastAsia="Calibri" w:hAnsi="Calibri"/>
          <w:i w:val="1"/>
          <w:iCs w:val="1"/>
          <w:rtl w:val="0"/>
        </w:rPr>
        <w:t xml:space="preserve">Zapytajcie, czy zdarza się, że musi Pan/Pani robić coś wbrew swoim wartościom, bo szef lub klient tak kazał?</w:t>
      </w:r>
    </w:p>
    <w:p w:rsidR="00000000" w:rsidDel="00000000" w:rsidP="00000000" w:rsidRDefault="00000000" w:rsidRPr="00000000" w14:paraId="00000043">
      <w:pPr>
        <w:numPr>
          <w:ilvl w:val="0"/>
          <w:numId w:val="10"/>
        </w:numPr>
        <w:spacing w:after="0" w:lineRule="auto"/>
        <w:ind w:left="720" w:hanging="360"/>
        <w:rPr>
          <w:rFonts w:ascii="Calibri" w:cs="Calibri" w:eastAsia="Calibri" w:hAnsi="Calibri"/>
          <w:i w:val="1"/>
          <w:iCs w:val="1"/>
        </w:rPr>
      </w:pPr>
      <w:r w:rsidDel="00000000" w:rsidR="00000000" w:rsidRPr="00000000">
        <w:rPr>
          <w:rFonts w:ascii="Calibri" w:cs="Calibri" w:eastAsia="Calibri" w:hAnsi="Calibri"/>
          <w:i w:val="1"/>
          <w:iCs w:val="1"/>
          <w:rtl w:val="0"/>
        </w:rPr>
        <w:t xml:space="preserve">Zapytajcie, co w tej pracy sprawia, że wraca Pan/Pani do domu w złym humorze?</w:t>
      </w:r>
    </w:p>
    <w:p w:rsidR="00000000" w:rsidDel="00000000" w:rsidP="00000000" w:rsidRDefault="00000000" w:rsidRPr="00000000" w14:paraId="00000044">
      <w:pPr>
        <w:numPr>
          <w:ilvl w:val="0"/>
          <w:numId w:val="10"/>
        </w:numPr>
        <w:spacing w:after="0" w:lineRule="auto"/>
        <w:ind w:left="720" w:hanging="360"/>
        <w:rPr>
          <w:rFonts w:ascii="Calibri" w:cs="Calibri" w:eastAsia="Calibri" w:hAnsi="Calibri"/>
          <w:i w:val="1"/>
          <w:iCs w:val="1"/>
        </w:rPr>
      </w:pPr>
      <w:r w:rsidDel="00000000" w:rsidR="00000000" w:rsidRPr="00000000">
        <w:rPr>
          <w:rFonts w:ascii="Calibri" w:cs="Calibri" w:eastAsia="Calibri" w:hAnsi="Calibri"/>
          <w:i w:val="1"/>
          <w:iCs w:val="1"/>
          <w:rtl w:val="0"/>
        </w:rPr>
        <w:t xml:space="preserve">Dowiedzcie się, czy gdyby Pan/Pani mógł/mogła cofnąć czas do 8. Klasy/gimnazjum, to czy wybrałby/wybrałaby Pan/Pani tę samą szkołę, wiedząc to, co wie Pan/Pani teraz?</w:t>
      </w:r>
    </w:p>
    <w:p w:rsidR="00000000" w:rsidDel="00000000" w:rsidP="00000000" w:rsidRDefault="00000000" w:rsidRPr="00000000" w14:paraId="00000045">
      <w:pPr>
        <w:numPr>
          <w:ilvl w:val="0"/>
          <w:numId w:val="10"/>
        </w:numPr>
        <w:spacing w:after="0" w:lineRule="auto"/>
        <w:ind w:left="720" w:hanging="360"/>
        <w:rPr>
          <w:rFonts w:ascii="Calibri" w:cs="Calibri" w:eastAsia="Calibri" w:hAnsi="Calibri"/>
          <w:i w:val="1"/>
          <w:iCs w:val="1"/>
        </w:rPr>
      </w:pPr>
      <w:r w:rsidDel="00000000" w:rsidR="00000000" w:rsidRPr="00000000">
        <w:rPr>
          <w:rFonts w:ascii="Calibri" w:cs="Calibri" w:eastAsia="Calibri" w:hAnsi="Calibri"/>
          <w:i w:val="1"/>
          <w:iCs w:val="1"/>
          <w:rtl w:val="0"/>
        </w:rPr>
        <w:t xml:space="preserve">Zapytajcie, jaki moment w pracy sprawił, że poczuł/a Pan/Pani: „Tak, to jest to, co chcę robić w życiu!”?</w:t>
      </w:r>
    </w:p>
    <w:p w:rsidR="00000000" w:rsidDel="00000000" w:rsidP="00000000" w:rsidRDefault="00000000" w:rsidRPr="00000000" w14:paraId="00000046">
      <w:pPr>
        <w:numPr>
          <w:ilvl w:val="0"/>
          <w:numId w:val="10"/>
        </w:numPr>
        <w:spacing w:after="0" w:lineRule="auto"/>
        <w:ind w:left="720" w:hanging="360"/>
        <w:rPr>
          <w:rFonts w:ascii="Calibri" w:cs="Calibri" w:eastAsia="Calibri" w:hAnsi="Calibri"/>
          <w:i w:val="1"/>
          <w:iCs w:val="1"/>
        </w:rPr>
      </w:pPr>
      <w:r w:rsidDel="00000000" w:rsidR="00000000" w:rsidRPr="00000000">
        <w:rPr>
          <w:rFonts w:ascii="Calibri" w:cs="Calibri" w:eastAsia="Calibri" w:hAnsi="Calibri"/>
          <w:i w:val="1"/>
          <w:iCs w:val="1"/>
          <w:rtl w:val="0"/>
        </w:rPr>
        <w:t xml:space="preserve">Dowiedzcie się, która z Pana/Pani cech charakteru najbardziej pomaga Panu/Pani odnosić sukcesy w tym zawodzie?</w:t>
      </w:r>
    </w:p>
    <w:p w:rsidR="00000000" w:rsidDel="00000000" w:rsidP="00000000" w:rsidRDefault="00000000" w:rsidRPr="00000000" w14:paraId="00000047">
      <w:pPr>
        <w:numPr>
          <w:ilvl w:val="0"/>
          <w:numId w:val="10"/>
        </w:numPr>
        <w:spacing w:after="0" w:lineRule="auto"/>
        <w:ind w:left="720" w:hanging="360"/>
        <w:rPr>
          <w:rFonts w:ascii="Calibri" w:cs="Calibri" w:eastAsia="Calibri" w:hAnsi="Calibri"/>
          <w:i w:val="1"/>
          <w:iCs w:val="1"/>
        </w:rPr>
      </w:pPr>
      <w:r w:rsidDel="00000000" w:rsidR="00000000" w:rsidRPr="00000000">
        <w:rPr>
          <w:rFonts w:ascii="Calibri" w:cs="Calibri" w:eastAsia="Calibri" w:hAnsi="Calibri"/>
          <w:i w:val="1"/>
          <w:iCs w:val="1"/>
          <w:rtl w:val="0"/>
        </w:rPr>
        <w:t xml:space="preserve">Zapytajcie, co w tej pracy daje Panu/Pani największe poczucie wolności i sprawstwa?</w:t>
      </w:r>
    </w:p>
    <w:p w:rsidR="00000000" w:rsidDel="00000000" w:rsidP="00000000" w:rsidRDefault="00000000" w:rsidRPr="00000000" w14:paraId="00000048">
      <w:pPr>
        <w:numPr>
          <w:ilvl w:val="0"/>
          <w:numId w:val="10"/>
        </w:numPr>
        <w:spacing w:after="0" w:lineRule="auto"/>
        <w:ind w:left="720" w:hanging="360"/>
        <w:rPr>
          <w:rFonts w:ascii="Calibri" w:cs="Calibri" w:eastAsia="Calibri" w:hAnsi="Calibri"/>
          <w:i w:val="1"/>
          <w:iCs w:val="1"/>
        </w:rPr>
      </w:pPr>
      <w:r w:rsidDel="00000000" w:rsidR="00000000" w:rsidRPr="00000000">
        <w:rPr>
          <w:rFonts w:ascii="Calibri" w:cs="Calibri" w:eastAsia="Calibri" w:hAnsi="Calibri"/>
          <w:i w:val="1"/>
          <w:iCs w:val="1"/>
          <w:rtl w:val="0"/>
        </w:rPr>
        <w:t xml:space="preserve">Zapytajcie, jak ta praca pomaga Panu/Pani realizować swoje prywatne marzenia lub pasje?</w:t>
      </w:r>
    </w:p>
    <w:p w:rsidR="00000000" w:rsidDel="00000000" w:rsidP="00000000" w:rsidRDefault="00000000" w:rsidRPr="00000000" w14:paraId="00000049">
      <w:pPr>
        <w:numPr>
          <w:ilvl w:val="0"/>
          <w:numId w:val="10"/>
        </w:numPr>
        <w:spacing w:after="0" w:lineRule="auto"/>
        <w:ind w:left="720" w:hanging="360"/>
        <w:rPr>
          <w:rFonts w:ascii="Calibri" w:cs="Calibri" w:eastAsia="Calibri" w:hAnsi="Calibri"/>
          <w:i w:val="1"/>
          <w:iCs w:val="1"/>
        </w:rPr>
      </w:pPr>
      <w:r w:rsidDel="00000000" w:rsidR="00000000" w:rsidRPr="00000000">
        <w:rPr>
          <w:rFonts w:ascii="Calibri" w:cs="Calibri" w:eastAsia="Calibri" w:hAnsi="Calibri"/>
          <w:i w:val="1"/>
          <w:iCs w:val="1"/>
          <w:rtl w:val="0"/>
        </w:rPr>
        <w:t xml:space="preserve">Dowiedzcie się, co sprawia, że mimo trudnych dni, rano chce się Panu/Pani wstać i iść do tej pracy?</w:t>
      </w:r>
    </w:p>
    <w:p w:rsidR="00000000" w:rsidDel="00000000" w:rsidP="00000000" w:rsidRDefault="00000000" w:rsidRPr="00000000" w14:paraId="0000004A">
      <w:pPr>
        <w:spacing w:after="0" w:lineRule="auto"/>
        <w:ind w:left="720" w:firstLine="0"/>
        <w:rPr>
          <w:rFonts w:ascii="Calibri" w:cs="Calibri" w:eastAsia="Calibri" w:hAnsi="Calibri"/>
          <w:i w:val="1"/>
          <w:i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Używaj głośnego sygnału dźwiękowego (np. dzwonek, gong aplikacji timerowej) do ogłaszania końca rundy. </w:t>
      </w:r>
    </w:p>
    <w:p w:rsidR="00000000" w:rsidDel="00000000" w:rsidP="00000000" w:rsidRDefault="00000000" w:rsidRPr="00000000" w14:paraId="0000004C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Grupy przemieszczają się do kolejnego gościa zgodnie z ruchem wskazówek zegara. Upewnij się, że uczniowie i uczennice wiedzą, w którą stronę/gdzie mają iść (możesz wcześniej oznaczyć kierunek strzałkami na podłodze lub tablicy).</w:t>
      </w:r>
    </w:p>
    <w:p w:rsidR="00000000" w:rsidDel="00000000" w:rsidP="00000000" w:rsidRDefault="00000000" w:rsidRPr="00000000" w14:paraId="0000004D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Dbaj o dyscyplinę czasową. To klucz do utrzymania dynamiki i energii w klasie. Jeśli jedna grupa „zostaje w tyle”, nie zatrzymuj całej klasy – po prostu przypomnij: „Czas się kończy!” i zachęć do szybszego pytania.</w:t>
      </w:r>
    </w:p>
    <w:p w:rsidR="00000000" w:rsidDel="00000000" w:rsidP="00000000" w:rsidRDefault="00000000" w:rsidRPr="00000000" w14:paraId="0000004E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Po ostatniej rundzie podziękuj gościom za udział i poproś ich o pozostanie w sali – będą uczestniczyć w podsumowaniu.</w:t>
      </w:r>
    </w:p>
    <w:p w:rsidR="00000000" w:rsidDel="00000000" w:rsidP="00000000" w:rsidRDefault="00000000" w:rsidRPr="00000000" w14:paraId="0000004F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Twoją rolą jest facylitacja, podrzucanie prowokujących pytań, dbanie o dyscyplinę czasową.</w:t>
      </w:r>
    </w:p>
    <w:p w:rsidR="00000000" w:rsidDel="00000000" w:rsidP="00000000" w:rsidRDefault="00000000" w:rsidRPr="00000000" w14:paraId="00000050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878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8780"/>
        <w:tblGridChange w:id="0">
          <w:tblGrid>
            <w:gridCol w:w="8780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1">
            <w:pPr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2">
            <w:pPr>
              <w:numPr>
                <w:ilvl w:val="0"/>
                <w:numId w:val="17"/>
              </w:numPr>
              <w:ind w:left="720" w:hanging="360"/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Możliwe trudne zachowania</w:t>
            </w:r>
          </w:p>
          <w:p w:rsidR="00000000" w:rsidDel="00000000" w:rsidP="00000000" w:rsidRDefault="00000000" w:rsidRPr="00000000" w14:paraId="00000053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Uczniowie zadają tylko powierzchowne lub nieodpowiednie pytania (np. o zarobki, urlopy, „czy jest fajnie”)</w:t>
            </w:r>
          </w:p>
          <w:p w:rsidR="00000000" w:rsidDel="00000000" w:rsidP="00000000" w:rsidRDefault="00000000" w:rsidRPr="00000000" w14:paraId="00000054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5">
            <w:pPr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Propozycja reakcji </w:t>
            </w:r>
          </w:p>
          <w:p w:rsidR="00000000" w:rsidDel="00000000" w:rsidP="00000000" w:rsidRDefault="00000000" w:rsidRPr="00000000" w14:paraId="00000056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Przypomnij zasady: </w:t>
            </w:r>
            <w:r w:rsidDel="00000000" w:rsidR="00000000" w:rsidRPr="00000000">
              <w:rPr>
                <w:rFonts w:ascii="Calibri" w:cs="Calibri" w:eastAsia="Calibri" w:hAnsi="Calibri"/>
                <w:i w:val="1"/>
                <w:iCs w:val="1"/>
                <w:rtl w:val="0"/>
              </w:rPr>
              <w:t xml:space="preserve">Pamiętajcie, że dziś szukamy prawdy, nie reklamówki. Zarobki to łatwa odpowiedź, ale my chcemy wiedzieć, co jest trudne i co kosztuje tę pracę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.</w:t>
            </w:r>
          </w:p>
          <w:p w:rsidR="00000000" w:rsidDel="00000000" w:rsidP="00000000" w:rsidRDefault="00000000" w:rsidRPr="00000000" w14:paraId="00000057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Możesz podrzucić konkretne pytanie.</w:t>
            </w:r>
          </w:p>
          <w:p w:rsidR="00000000" w:rsidDel="00000000" w:rsidP="00000000" w:rsidRDefault="00000000" w:rsidRPr="00000000" w14:paraId="00000058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Zachęć do zadawania pytań otwartych, np. </w:t>
            </w:r>
            <w:r w:rsidDel="00000000" w:rsidR="00000000" w:rsidRPr="00000000">
              <w:rPr>
                <w:rFonts w:ascii="Calibri" w:cs="Calibri" w:eastAsia="Calibri" w:hAnsi="Calibri"/>
                <w:i w:val="1"/>
                <w:iCs w:val="1"/>
                <w:rtl w:val="0"/>
              </w:rPr>
              <w:t xml:space="preserve">Jak radzisz sobie ze stresem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?</w:t>
            </w:r>
          </w:p>
          <w:p w:rsidR="00000000" w:rsidDel="00000000" w:rsidP="00000000" w:rsidRDefault="00000000" w:rsidRPr="00000000" w14:paraId="00000059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A">
            <w:pPr>
              <w:numPr>
                <w:ilvl w:val="0"/>
                <w:numId w:val="17"/>
              </w:numPr>
              <w:ind w:left="720" w:hanging="360"/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Możliwe trudne zachowania</w:t>
            </w:r>
          </w:p>
          <w:p w:rsidR="00000000" w:rsidDel="00000000" w:rsidP="00000000" w:rsidRDefault="00000000" w:rsidRPr="00000000" w14:paraId="0000005B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Gość odpowiada bardzo krótko lub unika trudnych tematów</w:t>
            </w:r>
          </w:p>
          <w:p w:rsidR="00000000" w:rsidDel="00000000" w:rsidP="00000000" w:rsidRDefault="00000000" w:rsidRPr="00000000" w14:paraId="0000005C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D">
            <w:pPr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Propozycja reakcji </w:t>
            </w:r>
          </w:p>
          <w:p w:rsidR="00000000" w:rsidDel="00000000" w:rsidP="00000000" w:rsidRDefault="00000000" w:rsidRPr="00000000" w14:paraId="0000005E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Delikatnie wesprzyj gościa: </w:t>
            </w:r>
            <w:r w:rsidDel="00000000" w:rsidR="00000000" w:rsidRPr="00000000">
              <w:rPr>
                <w:rFonts w:ascii="Calibri" w:cs="Calibri" w:eastAsia="Calibri" w:hAnsi="Calibri"/>
                <w:i w:val="1"/>
                <w:iCs w:val="1"/>
                <w:rtl w:val="0"/>
              </w:rPr>
              <w:t xml:space="preserve">Proszę, niech Pan/Pani opowie, co jest największym wyzwaniem, nawet jeśli to trudne.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F">
            <w:pPr>
              <w:rPr>
                <w:rFonts w:ascii="Calibri" w:cs="Calibri" w:eastAsia="Calibri" w:hAnsi="Calibri"/>
                <w:i w:val="1"/>
                <w:iCs w:val="1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Zachęć uczennice i uczniów do zadawania pytań pogłębiających: </w:t>
            </w:r>
            <w:r w:rsidDel="00000000" w:rsidR="00000000" w:rsidRPr="00000000">
              <w:rPr>
                <w:rFonts w:ascii="Calibri" w:cs="Calibri" w:eastAsia="Calibri" w:hAnsi="Calibri"/>
                <w:i w:val="1"/>
                <w:iCs w:val="1"/>
                <w:rtl w:val="0"/>
              </w:rPr>
              <w:t xml:space="preserve">Co Pan/Pani czuje, gdy musi pracować po godzinach?</w:t>
            </w:r>
          </w:p>
          <w:p w:rsidR="00000000" w:rsidDel="00000000" w:rsidP="00000000" w:rsidRDefault="00000000" w:rsidRPr="00000000" w14:paraId="00000060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Jeśli sytuacja się powtarza, możesz zaproponować zmianę gościa lub przerwę na refleksję.</w:t>
            </w:r>
          </w:p>
          <w:p w:rsidR="00000000" w:rsidDel="00000000" w:rsidP="00000000" w:rsidRDefault="00000000" w:rsidRPr="00000000" w14:paraId="00000061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2">
            <w:pPr>
              <w:numPr>
                <w:ilvl w:val="0"/>
                <w:numId w:val="17"/>
              </w:numPr>
              <w:ind w:left="720" w:hanging="360"/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Możliwe trudne zachowania</w:t>
            </w:r>
          </w:p>
          <w:p w:rsidR="00000000" w:rsidDel="00000000" w:rsidP="00000000" w:rsidRDefault="00000000" w:rsidRPr="00000000" w14:paraId="00000063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Uczennice i uczniowie są nieśmiali, nie zadają pytań, siedzą cicho.</w:t>
            </w:r>
          </w:p>
          <w:p w:rsidR="00000000" w:rsidDel="00000000" w:rsidP="00000000" w:rsidRDefault="00000000" w:rsidRPr="00000000" w14:paraId="00000064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5">
            <w:pPr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Propozycja reakcji </w:t>
            </w:r>
          </w:p>
          <w:p w:rsidR="00000000" w:rsidDel="00000000" w:rsidP="00000000" w:rsidRDefault="00000000" w:rsidRPr="00000000" w14:paraId="00000066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Przypomnij, że pytania nie muszą być idealne. Zachęć, aby sięgnęli do swoich notatek.</w:t>
            </w:r>
          </w:p>
          <w:p w:rsidR="00000000" w:rsidDel="00000000" w:rsidP="00000000" w:rsidRDefault="00000000" w:rsidRPr="00000000" w14:paraId="00000067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Możesz sam/a zadać pierwsze pytanie, by przełamać lody.</w:t>
            </w:r>
          </w:p>
          <w:p w:rsidR="00000000" w:rsidDel="00000000" w:rsidP="00000000" w:rsidRDefault="00000000" w:rsidRPr="00000000" w14:paraId="00000068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9">
            <w:pPr>
              <w:numPr>
                <w:ilvl w:val="0"/>
                <w:numId w:val="17"/>
              </w:numPr>
              <w:ind w:left="720" w:hanging="360"/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Możliwe trudne zachowania</w:t>
            </w:r>
          </w:p>
          <w:p w:rsidR="00000000" w:rsidDel="00000000" w:rsidP="00000000" w:rsidRDefault="00000000" w:rsidRPr="00000000" w14:paraId="0000006A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Ktoś z uczniów zaczyna dominować rozmowę, nie pozwala innym mówić</w:t>
            </w:r>
          </w:p>
          <w:p w:rsidR="00000000" w:rsidDel="00000000" w:rsidP="00000000" w:rsidRDefault="00000000" w:rsidRPr="00000000" w14:paraId="0000006B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C">
            <w:pPr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Propozycja reakcji </w:t>
            </w:r>
          </w:p>
          <w:p w:rsidR="00000000" w:rsidDel="00000000" w:rsidP="00000000" w:rsidRDefault="00000000" w:rsidRPr="00000000" w14:paraId="0000006D">
            <w:pPr>
              <w:rPr>
                <w:rFonts w:ascii="Calibri" w:cs="Calibri" w:eastAsia="Calibri" w:hAnsi="Calibri"/>
                <w:i w:val="1"/>
                <w:iCs w:val="1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Przypomnij zasady dialogu i szacunku: </w:t>
            </w:r>
            <w:r w:rsidDel="00000000" w:rsidR="00000000" w:rsidRPr="00000000">
              <w:rPr>
                <w:rFonts w:ascii="Calibri" w:cs="Calibri" w:eastAsia="Calibri" w:hAnsi="Calibri"/>
                <w:i w:val="1"/>
                <w:iCs w:val="1"/>
                <w:rtl w:val="0"/>
              </w:rPr>
              <w:t xml:space="preserve">Każdy ma prawo zadać pytanie i usłyszeć odpowiedź.</w:t>
            </w:r>
          </w:p>
          <w:p w:rsidR="00000000" w:rsidDel="00000000" w:rsidP="00000000" w:rsidRDefault="00000000" w:rsidRPr="00000000" w14:paraId="0000006E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Jeśli to konieczne, wprowadź zasadę ograniczenia liczby pytań zadawanych przez jednego ucznia do 2-3.</w:t>
            </w:r>
          </w:p>
          <w:p w:rsidR="00000000" w:rsidDel="00000000" w:rsidP="00000000" w:rsidRDefault="00000000" w:rsidRPr="00000000" w14:paraId="0000006F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0">
            <w:pPr>
              <w:numPr>
                <w:ilvl w:val="0"/>
                <w:numId w:val="17"/>
              </w:numPr>
              <w:ind w:left="720" w:hanging="360"/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Możliwe trudne zachowania</w:t>
            </w:r>
          </w:p>
          <w:p w:rsidR="00000000" w:rsidDel="00000000" w:rsidP="00000000" w:rsidRDefault="00000000" w:rsidRPr="00000000" w14:paraId="00000071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Emocje uczennic i uczniów lub gości stają się zbyt silne (np. łzy, złość).</w:t>
            </w:r>
          </w:p>
          <w:p w:rsidR="00000000" w:rsidDel="00000000" w:rsidP="00000000" w:rsidRDefault="00000000" w:rsidRPr="00000000" w14:paraId="00000072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3">
            <w:pPr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Propozycja reakcji </w:t>
            </w:r>
          </w:p>
          <w:p w:rsidR="00000000" w:rsidDel="00000000" w:rsidP="00000000" w:rsidRDefault="00000000" w:rsidRPr="00000000" w14:paraId="00000074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Zachowaj spokój i empatię. Zapewnij, że to naturalne, że rozmowy o trudnych tematach wywołują emocje.</w:t>
            </w:r>
          </w:p>
          <w:p w:rsidR="00000000" w:rsidDel="00000000" w:rsidP="00000000" w:rsidRDefault="00000000" w:rsidRPr="00000000" w14:paraId="00000075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Zaproponuj krótką przerwę lub zmianę tematu na chwilę.</w:t>
            </w:r>
          </w:p>
          <w:p w:rsidR="00000000" w:rsidDel="00000000" w:rsidP="00000000" w:rsidRDefault="00000000" w:rsidRPr="00000000" w14:paraId="00000076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Po zajęciach możesz porozmawiać indywidualnie z uczennicą/uczniem lub gościem, jeśli to potrzebne.</w:t>
            </w:r>
          </w:p>
          <w:p w:rsidR="00000000" w:rsidDel="00000000" w:rsidP="00000000" w:rsidRDefault="00000000" w:rsidRPr="00000000" w14:paraId="00000077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8">
            <w:pPr>
              <w:numPr>
                <w:ilvl w:val="0"/>
                <w:numId w:val="17"/>
              </w:numPr>
              <w:ind w:left="720" w:hanging="360"/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Możliwe trudne zachowania</w:t>
            </w:r>
          </w:p>
          <w:p w:rsidR="00000000" w:rsidDel="00000000" w:rsidP="00000000" w:rsidRDefault="00000000" w:rsidRPr="00000000" w14:paraId="00000079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Problemy organizacyjne – hałas, chaos podczas rotacji.</w:t>
            </w:r>
          </w:p>
          <w:p w:rsidR="00000000" w:rsidDel="00000000" w:rsidP="00000000" w:rsidRDefault="00000000" w:rsidRPr="00000000" w14:paraId="0000007A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B">
            <w:pPr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Propozycja reakcji </w:t>
            </w:r>
          </w:p>
          <w:p w:rsidR="00000000" w:rsidDel="00000000" w:rsidP="00000000" w:rsidRDefault="00000000" w:rsidRPr="00000000" w14:paraId="0000007C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Przypomnij o zasadach poruszania się i ciszy podczas rozmów.</w:t>
            </w:r>
          </w:p>
          <w:p w:rsidR="00000000" w:rsidDel="00000000" w:rsidP="00000000" w:rsidRDefault="00000000" w:rsidRPr="00000000" w14:paraId="0000007D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Używaj głośnego sygnału dźwiękowego, by przyciągnąć uwagę i zorganizować ruch.</w:t>
            </w:r>
          </w:p>
          <w:p w:rsidR="00000000" w:rsidDel="00000000" w:rsidP="00000000" w:rsidRDefault="00000000" w:rsidRPr="00000000" w14:paraId="0000007E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W razie potrzeby wprowadź krótką przerwę na uspokojenie i przypomnienie zasad.</w:t>
            </w:r>
          </w:p>
          <w:p w:rsidR="00000000" w:rsidDel="00000000" w:rsidP="00000000" w:rsidRDefault="00000000" w:rsidRPr="00000000" w14:paraId="0000007F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80">
      <w:pPr>
        <w:rPr>
          <w:rFonts w:ascii="Calibri" w:cs="Calibri" w:eastAsia="Calibri" w:hAnsi="Calibri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1">
      <w:pPr>
        <w:pStyle w:val="Heading4"/>
        <w:rPr>
          <w:i w:val="0"/>
          <w:iCs w:val="0"/>
          <w:sz w:val="26"/>
          <w:szCs w:val="26"/>
        </w:rPr>
      </w:pPr>
      <w:r w:rsidDel="00000000" w:rsidR="00000000" w:rsidRPr="00000000">
        <w:rPr>
          <w:i w:val="0"/>
          <w:iCs w:val="0"/>
          <w:sz w:val="26"/>
          <w:szCs w:val="26"/>
          <w:rtl w:val="0"/>
        </w:rPr>
        <w:t xml:space="preserve">ETAP 4. Podsumowanie: „Zderzenie z szybą” (ok. 20 min)</w:t>
      </w:r>
    </w:p>
    <w:p w:rsidR="00000000" w:rsidDel="00000000" w:rsidP="00000000" w:rsidRDefault="00000000" w:rsidRPr="00000000" w14:paraId="00000082">
      <w:pPr>
        <w:spacing w:after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Podziękuj gościom za poświęcony czas, otwartość i podzielenie się swoimi doświadczeniami. Następnie zadaj im krótkie pytania na forum klasy, np.:</w:t>
      </w:r>
    </w:p>
    <w:p w:rsidR="00000000" w:rsidDel="00000000" w:rsidP="00000000" w:rsidRDefault="00000000" w:rsidRPr="00000000" w14:paraId="00000083">
      <w:pPr>
        <w:numPr>
          <w:ilvl w:val="0"/>
          <w:numId w:val="8"/>
        </w:numPr>
        <w:spacing w:after="0" w:before="240" w:lineRule="auto"/>
        <w:ind w:left="720" w:hanging="360"/>
        <w:rPr>
          <w:rFonts w:ascii="Calibri" w:cs="Calibri" w:eastAsia="Calibri" w:hAnsi="Calibri"/>
          <w:i w:val="1"/>
          <w:iCs w:val="1"/>
        </w:rPr>
      </w:pPr>
      <w:r w:rsidDel="00000000" w:rsidR="00000000" w:rsidRPr="00000000">
        <w:rPr>
          <w:rFonts w:ascii="Calibri" w:cs="Calibri" w:eastAsia="Calibri" w:hAnsi="Calibri"/>
          <w:i w:val="1"/>
          <w:iCs w:val="1"/>
          <w:rtl w:val="0"/>
        </w:rPr>
        <w:t xml:space="preserve">Gdybyście mieli wskazać jedną rzecz, której szkoła Was nie nauczyła, a która jest dziś kluczowa w Waszej pracy – co by to było?</w:t>
      </w:r>
    </w:p>
    <w:p w:rsidR="00000000" w:rsidDel="00000000" w:rsidP="00000000" w:rsidRDefault="00000000" w:rsidRPr="00000000" w14:paraId="00000084">
      <w:pPr>
        <w:numPr>
          <w:ilvl w:val="0"/>
          <w:numId w:val="8"/>
        </w:numPr>
        <w:spacing w:after="240" w:lineRule="auto"/>
        <w:ind w:left="720" w:hanging="360"/>
        <w:rPr>
          <w:rFonts w:ascii="Calibri" w:cs="Calibri" w:eastAsia="Calibri" w:hAnsi="Calibri"/>
          <w:i w:val="1"/>
          <w:iCs w:val="1"/>
        </w:rPr>
      </w:pPr>
      <w:r w:rsidDel="00000000" w:rsidR="00000000" w:rsidRPr="00000000">
        <w:rPr>
          <w:rFonts w:ascii="Calibri" w:cs="Calibri" w:eastAsia="Calibri" w:hAnsi="Calibri"/>
          <w:i w:val="1"/>
          <w:iCs w:val="1"/>
          <w:rtl w:val="0"/>
        </w:rPr>
        <w:t xml:space="preserve">Czy po dzisiejszych pytaniach uczennic i uczniów macie poczucie, że młodzi ludzie mają realistyczne wyobrażenie o Waszym świecie pracy?</w:t>
      </w:r>
    </w:p>
    <w:p w:rsidR="00000000" w:rsidDel="00000000" w:rsidP="00000000" w:rsidRDefault="00000000" w:rsidRPr="00000000" w14:paraId="00000085">
      <w:pPr>
        <w:spacing w:after="240" w:befor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Po pożegnaniu gości rozpocznij krótką rozmowę z uczniami  i uczennicami. Możesz zapytać:</w:t>
      </w:r>
    </w:p>
    <w:p w:rsidR="00000000" w:rsidDel="00000000" w:rsidP="00000000" w:rsidRDefault="00000000" w:rsidRPr="00000000" w14:paraId="00000086">
      <w:pPr>
        <w:numPr>
          <w:ilvl w:val="0"/>
          <w:numId w:val="4"/>
        </w:numPr>
        <w:spacing w:after="0" w:before="240" w:lineRule="auto"/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C</w:t>
      </w:r>
      <w:r w:rsidDel="00000000" w:rsidR="00000000" w:rsidRPr="00000000">
        <w:rPr>
          <w:rFonts w:ascii="Calibri" w:cs="Calibri" w:eastAsia="Calibri" w:hAnsi="Calibri"/>
          <w:i w:val="1"/>
          <w:iCs w:val="1"/>
          <w:rtl w:val="0"/>
        </w:rPr>
        <w:t xml:space="preserve">o Was dziś najbardziej zaskoczyło w wypowiedziach naszych gości?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7">
      <w:pPr>
        <w:numPr>
          <w:ilvl w:val="0"/>
          <w:numId w:val="4"/>
        </w:numPr>
        <w:spacing w:after="0" w:lineRule="auto"/>
        <w:ind w:left="720" w:hanging="360"/>
        <w:rPr>
          <w:rFonts w:ascii="Calibri" w:cs="Calibri" w:eastAsia="Calibri" w:hAnsi="Calibri"/>
          <w:i w:val="1"/>
          <w:iCs w:val="1"/>
        </w:rPr>
      </w:pPr>
      <w:r w:rsidDel="00000000" w:rsidR="00000000" w:rsidRPr="00000000">
        <w:rPr>
          <w:rFonts w:ascii="Calibri" w:cs="Calibri" w:eastAsia="Calibri" w:hAnsi="Calibri"/>
          <w:i w:val="1"/>
          <w:iCs w:val="1"/>
          <w:rtl w:val="0"/>
        </w:rPr>
        <w:t xml:space="preserve">Jaką jedną rzecz zabieracie z tego spotkania dla siebie?</w:t>
      </w:r>
    </w:p>
    <w:p w:rsidR="00000000" w:rsidDel="00000000" w:rsidP="00000000" w:rsidRDefault="00000000" w:rsidRPr="00000000" w14:paraId="00000088">
      <w:pPr>
        <w:numPr>
          <w:ilvl w:val="0"/>
          <w:numId w:val="4"/>
        </w:numPr>
        <w:ind w:left="720" w:hanging="360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i w:val="1"/>
          <w:iCs w:val="1"/>
          <w:rtl w:val="0"/>
        </w:rPr>
        <w:t xml:space="preserve">Patrząc na swoje TOP 3 wartości, czy myślicie, że przetrwałyby one w zawodzie, o którym słyszeliście? Czy coś Was zaskoczyło, co może sprawić, że trzeba będzie je zmodyfikować lub inaczej realizować?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9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Pomóż uczniom i uczennicom  zrozumieć, że wartości mogą ewoluować i że ważne jest, by być na to gotowym. Na koniec podkreśl, że takie spotkania pomagają poznać realne doświadczenia ludzi, a nie tylko wyobrażenia o szkołach czy zawodach, i mogą być ważną wskazówką przy planowaniu własnej drogi edukacyjnej.</w:t>
      </w:r>
    </w:p>
    <w:p w:rsidR="00000000" w:rsidDel="00000000" w:rsidP="00000000" w:rsidRDefault="00000000" w:rsidRPr="00000000" w14:paraId="0000008A">
      <w:pPr>
        <w:rPr>
          <w:rFonts w:ascii="Calibri" w:cs="Calibri" w:eastAsia="Calibri" w:hAnsi="Calibri"/>
          <w:i w:val="1"/>
          <w:iCs w:val="1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Podsumuj np. tak: </w:t>
      </w:r>
      <w:r w:rsidDel="00000000" w:rsidR="00000000" w:rsidRPr="00000000">
        <w:rPr>
          <w:rFonts w:ascii="Calibri" w:cs="Calibri" w:eastAsia="Calibri" w:hAnsi="Calibri"/>
          <w:i w:val="1"/>
          <w:iCs w:val="1"/>
          <w:rtl w:val="0"/>
        </w:rPr>
        <w:t xml:space="preserve">Na następnej lekcji wchodzimy w fazę testów ekstremalnych. Zapraszam Was do Laboratorium Dorosłości. Sprawdzimy tam, czy Wasze plany nie rozsypią się jak domek z kart, gdy dołożymy do nich budżet, brak czasu i prozę życia. Zobaczymy, kto z Was ma już gotowy „spadochron”, a kto musi jeszcze popracować nad swoim planem lotu. </w:t>
      </w:r>
    </w:p>
    <w:p w:rsidR="00000000" w:rsidDel="00000000" w:rsidP="00000000" w:rsidRDefault="00000000" w:rsidRPr="00000000" w14:paraId="0000008B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Na koniec zbierz krótki feedback od uczennic i uczniów (np. anonimowa kartka z jednym zdaniem: „Dziś nauczyłem się, że…”). To pozwoli ci ocenić, co zostało zrozumiane, co było ważne.</w:t>
      </w:r>
    </w:p>
    <w:p w:rsidR="00000000" w:rsidDel="00000000" w:rsidP="00000000" w:rsidRDefault="00000000" w:rsidRPr="00000000" w14:paraId="0000008C">
      <w:pPr>
        <w:pStyle w:val="Heading3"/>
        <w:rPr/>
      </w:pPr>
      <w:r w:rsidDel="00000000" w:rsidR="00000000" w:rsidRPr="00000000">
        <w:rPr>
          <w:rtl w:val="0"/>
        </w:rPr>
        <w:t xml:space="preserve">RÓŻNICOWANIE REALIZACJI LEKCJI </w:t>
      </w:r>
    </w:p>
    <w:p w:rsidR="00000000" w:rsidDel="00000000" w:rsidP="00000000" w:rsidRDefault="00000000" w:rsidRPr="00000000" w14:paraId="0000008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E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4f81bd"/>
          <w:rtl w:val="0"/>
        </w:rPr>
        <w:t xml:space="preserve">1. Trudności w regulacji emocji</w:t>
      </w:r>
      <w:r w:rsidDel="00000000" w:rsidR="00000000" w:rsidRPr="00000000">
        <w:rPr>
          <w:rFonts w:ascii="Calibri" w:cs="Calibri" w:eastAsia="Calibri" w:hAnsi="Calibri"/>
          <w:color w:val="4f81bd"/>
          <w:rtl w:val="0"/>
        </w:rPr>
        <w:br w:type="textWrapping"/>
      </w:r>
      <w:r w:rsidDel="00000000" w:rsidR="00000000" w:rsidRPr="00000000">
        <w:rPr>
          <w:rFonts w:ascii="Calibri" w:cs="Calibri" w:eastAsia="Calibri" w:hAnsi="Calibri"/>
          <w:rtl w:val="0"/>
        </w:rPr>
        <w:t xml:space="preserve">Bezpośredni kontakt z nieznajomymi dorosłymi i trudne pytania o „cenę sukcesu” mogą budzić lęk lub opór.</w:t>
      </w:r>
    </w:p>
    <w:p w:rsidR="00000000" w:rsidDel="00000000" w:rsidP="00000000" w:rsidRDefault="00000000" w:rsidRPr="00000000" w14:paraId="0000008F">
      <w:pPr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Propozycje działań:</w:t>
      </w:r>
    </w:p>
    <w:p w:rsidR="00000000" w:rsidDel="00000000" w:rsidP="00000000" w:rsidRDefault="00000000" w:rsidRPr="00000000" w14:paraId="00000090">
      <w:pPr>
        <w:numPr>
          <w:ilvl w:val="0"/>
          <w:numId w:val="12"/>
        </w:numPr>
        <w:spacing w:after="0" w:lineRule="auto"/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 Zapowiadaj rotację grup z wyprzedzeniem (np. „została minuta”) i używaj przewidywalnego sygnału dźwiękowego.</w:t>
      </w:r>
    </w:p>
    <w:p w:rsidR="00000000" w:rsidDel="00000000" w:rsidP="00000000" w:rsidRDefault="00000000" w:rsidRPr="00000000" w14:paraId="00000091">
      <w:pPr>
        <w:numPr>
          <w:ilvl w:val="0"/>
          <w:numId w:val="12"/>
        </w:numPr>
        <w:spacing w:after="0" w:lineRule="auto"/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 Normalizuj trudne tematy: „To, co mówią nasi goście, może być zaskakujące lub trudne. To jest właśnie ta prawda, której szukamy.”</w:t>
      </w:r>
    </w:p>
    <w:p w:rsidR="00000000" w:rsidDel="00000000" w:rsidP="00000000" w:rsidRDefault="00000000" w:rsidRPr="00000000" w14:paraId="00000092">
      <w:pPr>
        <w:numPr>
          <w:ilvl w:val="0"/>
          <w:numId w:val="12"/>
        </w:numPr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 Pozwól uczniowi na chwilę wycofania się z rozmowy (np. rola obserwatora), jeśli emocje związane z historią gościa są zbyt silne.</w:t>
      </w:r>
    </w:p>
    <w:p w:rsidR="00000000" w:rsidDel="00000000" w:rsidP="00000000" w:rsidRDefault="00000000" w:rsidRPr="00000000" w14:paraId="00000093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4f81bd"/>
          <w:rtl w:val="0"/>
        </w:rPr>
        <w:t xml:space="preserve">2. Trudności w koncentracji uwagi</w:t>
      </w:r>
      <w:r w:rsidDel="00000000" w:rsidR="00000000" w:rsidRPr="00000000">
        <w:rPr>
          <w:rFonts w:ascii="Calibri" w:cs="Calibri" w:eastAsia="Calibri" w:hAnsi="Calibri"/>
          <w:rtl w:val="0"/>
        </w:rPr>
        <w:br w:type="textWrapping"/>
        <w:t xml:space="preserve">Dynamiczna formuła pracy na tych zajęciach i hałas w sali mogą dodatkowo rozpraszać.</w:t>
      </w:r>
    </w:p>
    <w:p w:rsidR="00000000" w:rsidDel="00000000" w:rsidP="00000000" w:rsidRDefault="00000000" w:rsidRPr="00000000" w14:paraId="00000094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Propozycje działań: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5">
      <w:pPr>
        <w:numPr>
          <w:ilvl w:val="0"/>
          <w:numId w:val="6"/>
        </w:numPr>
        <w:spacing w:after="0" w:lineRule="auto"/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 Zapisz na tablicy jasną strukturę wywiadu: 1) Przedstawienie się, 2) Pytanie o wartości, 3) Pytanie o trudności, 4) Notatka.</w:t>
      </w:r>
    </w:p>
    <w:p w:rsidR="00000000" w:rsidDel="00000000" w:rsidP="00000000" w:rsidRDefault="00000000" w:rsidRPr="00000000" w14:paraId="00000096">
      <w:pPr>
        <w:numPr>
          <w:ilvl w:val="0"/>
          <w:numId w:val="6"/>
        </w:numPr>
        <w:spacing w:after="0" w:lineRule="auto"/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 Wyznacz w każdej grupie „strażnika czasu”, który pilnuje, by grupa zadała wszystkie przygotowane pytania.</w:t>
      </w:r>
    </w:p>
    <w:p w:rsidR="00000000" w:rsidDel="00000000" w:rsidP="00000000" w:rsidRDefault="00000000" w:rsidRPr="00000000" w14:paraId="00000097">
      <w:pPr>
        <w:numPr>
          <w:ilvl w:val="0"/>
          <w:numId w:val="6"/>
        </w:numPr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Ogranicz liczbę pytań do 2 konkretnych, jeśli grupa ma trudność z utrzymaniem uwagi w hałasie.</w:t>
      </w:r>
    </w:p>
    <w:p w:rsidR="00000000" w:rsidDel="00000000" w:rsidP="00000000" w:rsidRDefault="00000000" w:rsidRPr="00000000" w14:paraId="00000098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4f81bd"/>
          <w:rtl w:val="0"/>
        </w:rPr>
        <w:t xml:space="preserve">3. Trudności w komunikacji</w:t>
      </w:r>
      <w:r w:rsidDel="00000000" w:rsidR="00000000" w:rsidRPr="00000000">
        <w:rPr>
          <w:rFonts w:ascii="Calibri" w:cs="Calibri" w:eastAsia="Calibri" w:hAnsi="Calibri"/>
          <w:rtl w:val="0"/>
        </w:rPr>
        <w:br w:type="textWrapping"/>
        <w:t xml:space="preserve">Zadawanie pytań obcym osobom na żywo jest dla wielu uczennic i uczniów barierą nie do przejścia.</w:t>
        <w:br w:type="textWrapping"/>
        <w:br w:type="textWrapping"/>
      </w: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Propozycje działań: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9">
      <w:pPr>
        <w:numPr>
          <w:ilvl w:val="0"/>
          <w:numId w:val="16"/>
        </w:numPr>
        <w:spacing w:after="0" w:lineRule="auto"/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Dopuszczaj czytanie pytań z karty pracy zamiast mówienia z pamięci.</w:t>
      </w:r>
    </w:p>
    <w:p w:rsidR="00000000" w:rsidDel="00000000" w:rsidP="00000000" w:rsidRDefault="00000000" w:rsidRPr="00000000" w14:paraId="0000009A">
      <w:pPr>
        <w:numPr>
          <w:ilvl w:val="0"/>
          <w:numId w:val="16"/>
        </w:numPr>
        <w:spacing w:after="0" w:lineRule="auto"/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 Modeluj język</w:t>
      </w:r>
      <w:r w:rsidDel="00000000" w:rsidR="00000000" w:rsidRPr="00000000">
        <w:rPr>
          <w:rFonts w:ascii="Calibri" w:cs="Calibri" w:eastAsia="Calibri" w:hAnsi="Calibri"/>
          <w:i w:val="1"/>
          <w:iCs w:val="1"/>
          <w:rtl w:val="0"/>
        </w:rPr>
        <w:t xml:space="preserve">: Możecie zacząć tak: Panie/Pani [Imię], chcielibyśmy zapytać o...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B">
      <w:pPr>
        <w:numPr>
          <w:ilvl w:val="0"/>
          <w:numId w:val="16"/>
        </w:numPr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 Pozwól na komunikację niewerbalną – uczeń może wskazać przygotowane wcześniej pytanie na karcie, a gość na nie odpowie.</w:t>
      </w:r>
    </w:p>
    <w:p w:rsidR="00000000" w:rsidDel="00000000" w:rsidP="00000000" w:rsidRDefault="00000000" w:rsidRPr="00000000" w14:paraId="0000009C">
      <w:pPr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4f81bd"/>
          <w:rtl w:val="0"/>
        </w:rPr>
        <w:t xml:space="preserve">4. Trudności w rozumieniu i zapamiętywaniu</w:t>
      </w:r>
      <w:r w:rsidDel="00000000" w:rsidR="00000000" w:rsidRPr="00000000">
        <w:rPr>
          <w:rFonts w:ascii="Calibri" w:cs="Calibri" w:eastAsia="Calibri" w:hAnsi="Calibri"/>
          <w:rtl w:val="0"/>
        </w:rPr>
        <w:br w:type="textWrapping"/>
        <w:t xml:space="preserve">Historie gości mogą być wielowątkowe i trudne do szybkiego przetworzenia.</w:t>
        <w:br w:type="textWrapping"/>
        <w:br w:type="textWrapping"/>
      </w: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Propozycje działań:</w:t>
      </w:r>
    </w:p>
    <w:p w:rsidR="00000000" w:rsidDel="00000000" w:rsidP="00000000" w:rsidRDefault="00000000" w:rsidRPr="00000000" w14:paraId="0000009D">
      <w:pPr>
        <w:numPr>
          <w:ilvl w:val="0"/>
          <w:numId w:val="15"/>
        </w:numPr>
        <w:spacing w:after="0" w:lineRule="auto"/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 Używaj prostego klucza notowania: „Zawód + największa trudność + najważniejsza wartość”.</w:t>
      </w:r>
    </w:p>
    <w:p w:rsidR="00000000" w:rsidDel="00000000" w:rsidP="00000000" w:rsidRDefault="00000000" w:rsidRPr="00000000" w14:paraId="0000009E">
      <w:pPr>
        <w:numPr>
          <w:ilvl w:val="0"/>
          <w:numId w:val="15"/>
        </w:numPr>
        <w:spacing w:after="0" w:lineRule="auto"/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 Rób mikro-podsumowania po każdej rotacji: </w:t>
      </w:r>
      <w:r w:rsidDel="00000000" w:rsidR="00000000" w:rsidRPr="00000000">
        <w:rPr>
          <w:rFonts w:ascii="Calibri" w:cs="Calibri" w:eastAsia="Calibri" w:hAnsi="Calibri"/>
          <w:i w:val="1"/>
          <w:iCs w:val="1"/>
          <w:rtl w:val="0"/>
        </w:rPr>
        <w:t xml:space="preserve">Co usłyszeliście u Pana Marka? Jedno słowo-klucz.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F">
      <w:pPr>
        <w:numPr>
          <w:ilvl w:val="0"/>
          <w:numId w:val="15"/>
        </w:numPr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Podawaj gotowe przykłady „trudnych pytań” na tablicy, do których uczniowie mogą się odwołać.</w:t>
      </w:r>
    </w:p>
    <w:p w:rsidR="00000000" w:rsidDel="00000000" w:rsidP="00000000" w:rsidRDefault="00000000" w:rsidRPr="00000000" w14:paraId="000000A0">
      <w:pPr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4f81bd"/>
          <w:rtl w:val="0"/>
        </w:rPr>
        <w:t xml:space="preserve">5. Trudności w poruszaniu się</w:t>
      </w:r>
      <w:r w:rsidDel="00000000" w:rsidR="00000000" w:rsidRPr="00000000">
        <w:rPr>
          <w:rFonts w:ascii="Calibri" w:cs="Calibri" w:eastAsia="Calibri" w:hAnsi="Calibri"/>
          <w:rtl w:val="0"/>
        </w:rPr>
        <w:br w:type="textWrapping"/>
        <w:t xml:space="preserve">Rotacja grup co np. 10 minut wymaga sprawnego przemieszczania się po sali.</w:t>
        <w:br w:type="textWrapping"/>
        <w:br w:type="textWrapping"/>
      </w: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Propozycje działań:</w:t>
      </w:r>
    </w:p>
    <w:p w:rsidR="00000000" w:rsidDel="00000000" w:rsidP="00000000" w:rsidRDefault="00000000" w:rsidRPr="00000000" w14:paraId="000000A1">
      <w:pPr>
        <w:numPr>
          <w:ilvl w:val="0"/>
          <w:numId w:val="9"/>
        </w:numPr>
        <w:spacing w:after="0" w:lineRule="auto"/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 Zaplanuj szerokie przejścia między stanowiskami gości; usuń zbędne plecaki z podłogi.</w:t>
      </w:r>
    </w:p>
    <w:p w:rsidR="00000000" w:rsidDel="00000000" w:rsidP="00000000" w:rsidRDefault="00000000" w:rsidRPr="00000000" w14:paraId="000000A2">
      <w:pPr>
        <w:numPr>
          <w:ilvl w:val="0"/>
          <w:numId w:val="9"/>
        </w:numPr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 Jeśli uczennica/uczeń ma dużą trudność z poruszaniem się, pozwól mu zostać przy jednym stanowisku, a to goście mogą rotować (jeśli logistyka na to pozwala) lub grupa zostaje z nim.</w:t>
      </w:r>
    </w:p>
    <w:p w:rsidR="00000000" w:rsidDel="00000000" w:rsidP="00000000" w:rsidRDefault="00000000" w:rsidRPr="00000000" w14:paraId="000000A3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4f81bd"/>
          <w:rtl w:val="0"/>
        </w:rPr>
        <w:t xml:space="preserve">6. Trudności w relacjach społecznych</w:t>
      </w:r>
      <w:r w:rsidDel="00000000" w:rsidR="00000000" w:rsidRPr="00000000">
        <w:rPr>
          <w:rFonts w:ascii="Calibri" w:cs="Calibri" w:eastAsia="Calibri" w:hAnsi="Calibri"/>
          <w:rtl w:val="0"/>
        </w:rPr>
        <w:br w:type="textWrapping"/>
        <w:t xml:space="preserve">Interakcja z dorosłym „ekspertem” może budować dystans i lęk przed oceną.</w:t>
        <w:br w:type="textWrapping"/>
        <w:br w:type="textWrapping"/>
      </w: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Propozycje działań: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4">
      <w:pPr>
        <w:numPr>
          <w:ilvl w:val="0"/>
          <w:numId w:val="2"/>
        </w:numPr>
        <w:spacing w:after="0" w:lineRule="auto"/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 Świadomie dobieraj grupy tak, by liderzy wspierali osoby wycofane w zadawaniu pytań.</w:t>
      </w:r>
    </w:p>
    <w:p w:rsidR="00000000" w:rsidDel="00000000" w:rsidP="00000000" w:rsidRDefault="00000000" w:rsidRPr="00000000" w14:paraId="000000A5">
      <w:pPr>
        <w:numPr>
          <w:ilvl w:val="0"/>
          <w:numId w:val="2"/>
        </w:numPr>
        <w:spacing w:after="0" w:lineRule="auto"/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Przypominaj gościom, by zwracali się do uczennic i uczniów po imieniu i skracali dystans (np. siedząc na tej samej wysokości).</w:t>
      </w:r>
    </w:p>
    <w:p w:rsidR="00000000" w:rsidDel="00000000" w:rsidP="00000000" w:rsidRDefault="00000000" w:rsidRPr="00000000" w14:paraId="000000A6">
      <w:pPr>
        <w:numPr>
          <w:ilvl w:val="0"/>
          <w:numId w:val="2"/>
        </w:numPr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Dawaj wybór: uczennica/uczeń może oddać wnioski z wywiadów na kartce (exit-ticket) zamiast wypowiadać się na forum w podsumowaniu.</w:t>
      </w:r>
    </w:p>
    <w:p w:rsidR="00000000" w:rsidDel="00000000" w:rsidP="00000000" w:rsidRDefault="00000000" w:rsidRPr="00000000" w14:paraId="000000A7">
      <w:pPr>
        <w:pStyle w:val="Heading3"/>
        <w:rPr/>
      </w:pPr>
      <w:r w:rsidDel="00000000" w:rsidR="00000000" w:rsidRPr="00000000">
        <w:rPr>
          <w:rtl w:val="0"/>
        </w:rPr>
        <w:t xml:space="preserve">NOTATKA DLA RODZICÓW</w:t>
      </w:r>
    </w:p>
    <w:p w:rsidR="00000000" w:rsidDel="00000000" w:rsidP="00000000" w:rsidRDefault="00000000" w:rsidRPr="00000000" w14:paraId="000000A8">
      <w:pPr>
        <w:spacing w:after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„Co się działo na lekcji wychowawczej?"</w:t>
      </w:r>
    </w:p>
    <w:p w:rsidR="00000000" w:rsidDel="00000000" w:rsidP="00000000" w:rsidRDefault="00000000" w:rsidRPr="00000000" w14:paraId="000000A9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Dziś na lekcji wychowawczej Państwa dzieci wzięły udział w wyjątkowym wydarzeniu – „Zawodowym rendez-vous ”. Zamiast czytać o zawodach w internecie, spotkali się z gośćmi z „realu” (lokalnymi przedsiębiorcami i pracownikami), by usłyszeć o ich pracy bez lukru i marketingowych haseł.</w:t>
      </w:r>
    </w:p>
    <w:p w:rsidR="00000000" w:rsidDel="00000000" w:rsidP="00000000" w:rsidRDefault="00000000" w:rsidRPr="00000000" w14:paraId="000000AA">
      <w:pPr>
        <w:pStyle w:val="Heading3"/>
        <w:keepNext w:val="0"/>
        <w:keepLines w:val="0"/>
        <w:spacing w:after="80" w:before="280" w:lineRule="auto"/>
        <w:rPr/>
      </w:pPr>
      <w:bookmarkStart w:colFirst="0" w:colLast="0" w:name="_heading=h.wtg0flfk94oj" w:id="1"/>
      <w:bookmarkEnd w:id="1"/>
      <w:r w:rsidDel="00000000" w:rsidR="00000000" w:rsidRPr="00000000">
        <w:rPr>
          <w:rtl w:val="0"/>
        </w:rPr>
        <w:t xml:space="preserve">Dlaczego to ważne?</w:t>
        <w:br w:type="textWrapping"/>
      </w:r>
      <w:r w:rsidDel="00000000" w:rsidR="00000000" w:rsidRPr="00000000">
        <w:rPr>
          <w:b w:val="0"/>
          <w:bCs w:val="0"/>
          <w:color w:val="000000"/>
          <w:rtl w:val="0"/>
        </w:rPr>
        <w:t xml:space="preserve">Wybór szkoły średniej to często pierwsza tak poważna decyzja w życiu młodego człowieka. Chcemy, aby Państwa dzieci wybierały swoją ścieżkę na podstawie świadomości i faktów, a nie chwilowej mody czy wyidealizowanych obrazków z mediów społecznościowych. Podczas lekcji uczennice i uczniowie szukali odpowiedzi na trudne pytania: o koszty emocjonalne, o czas dla rodziny, o konflikty wartości i o to, co w pracy jest najtrudniejsze. To była lekcja twardego realizmu, która uczy krytycznego myślenia o przyszłości.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B">
      <w:pPr>
        <w:pStyle w:val="Heading3"/>
        <w:keepNext w:val="0"/>
        <w:keepLines w:val="0"/>
        <w:spacing w:after="80" w:before="280" w:lineRule="auto"/>
        <w:rPr>
          <w:b w:val="0"/>
          <w:bCs w:val="0"/>
          <w:color w:val="000000"/>
        </w:rPr>
      </w:pPr>
      <w:bookmarkStart w:colFirst="0" w:colLast="0" w:name="_heading=h.8yvq3ekfb9uj" w:id="2"/>
      <w:bookmarkEnd w:id="2"/>
      <w:r w:rsidDel="00000000" w:rsidR="00000000" w:rsidRPr="00000000">
        <w:rPr>
          <w:rtl w:val="0"/>
        </w:rPr>
        <w:t xml:space="preserve">Jak możesz rozmawiać z dzieckiem w domu?</w:t>
        <w:br w:type="textWrapping"/>
      </w:r>
      <w:r w:rsidDel="00000000" w:rsidR="00000000" w:rsidRPr="00000000">
        <w:rPr>
          <w:b w:val="0"/>
          <w:bCs w:val="0"/>
          <w:color w:val="000000"/>
          <w:rtl w:val="0"/>
        </w:rPr>
        <w:t xml:space="preserve">Zachęcamy do kontynuowania tej rozmowy przy wspólnej kolacji lub spacerze. Oto kilka pytań, które mogą pomóc:</w:t>
      </w:r>
    </w:p>
    <w:p w:rsidR="00000000" w:rsidDel="00000000" w:rsidP="00000000" w:rsidRDefault="00000000" w:rsidRPr="00000000" w14:paraId="000000AC">
      <w:pPr>
        <w:numPr>
          <w:ilvl w:val="0"/>
          <w:numId w:val="3"/>
        </w:numPr>
        <w:spacing w:after="0" w:lineRule="auto"/>
        <w:ind w:left="720" w:hanging="360"/>
        <w:rPr>
          <w:rFonts w:ascii="Calibri" w:cs="Calibri" w:eastAsia="Calibri" w:hAnsi="Calibri"/>
          <w:i w:val="1"/>
          <w:iCs w:val="1"/>
        </w:rPr>
      </w:pPr>
      <w:r w:rsidDel="00000000" w:rsidR="00000000" w:rsidRPr="00000000">
        <w:rPr>
          <w:rFonts w:ascii="Calibri" w:cs="Calibri" w:eastAsia="Calibri" w:hAnsi="Calibri"/>
          <w:i w:val="1"/>
          <w:iCs w:val="1"/>
          <w:rtl w:val="0"/>
        </w:rPr>
        <w:t xml:space="preserve">Która historia zawodowa najbardziej Cię dziś zaskoczyła lub „odczarowała” Twoje wyobrażenia?</w:t>
      </w:r>
    </w:p>
    <w:p w:rsidR="00000000" w:rsidDel="00000000" w:rsidP="00000000" w:rsidRDefault="00000000" w:rsidRPr="00000000" w14:paraId="000000AD">
      <w:pPr>
        <w:numPr>
          <w:ilvl w:val="0"/>
          <w:numId w:val="3"/>
        </w:numPr>
        <w:spacing w:after="0" w:lineRule="auto"/>
        <w:ind w:left="720" w:hanging="360"/>
        <w:rPr>
          <w:rFonts w:ascii="Calibri" w:cs="Calibri" w:eastAsia="Calibri" w:hAnsi="Calibri"/>
          <w:i w:val="1"/>
          <w:iCs w:val="1"/>
        </w:rPr>
      </w:pPr>
      <w:r w:rsidDel="00000000" w:rsidR="00000000" w:rsidRPr="00000000">
        <w:rPr>
          <w:rFonts w:ascii="Calibri" w:cs="Calibri" w:eastAsia="Calibri" w:hAnsi="Calibri"/>
          <w:i w:val="1"/>
          <w:iCs w:val="1"/>
          <w:rtl w:val="0"/>
        </w:rPr>
        <w:t xml:space="preserve">Czy dowiedziałeś/aś się czegoś, co sprawiło, że dany zawód przestał Ci się podobać, a inny stał się ciekawszy?</w:t>
      </w:r>
    </w:p>
    <w:p w:rsidR="00000000" w:rsidDel="00000000" w:rsidP="00000000" w:rsidRDefault="00000000" w:rsidRPr="00000000" w14:paraId="000000AE">
      <w:pPr>
        <w:numPr>
          <w:ilvl w:val="0"/>
          <w:numId w:val="3"/>
        </w:numPr>
        <w:spacing w:after="0" w:lineRule="auto"/>
        <w:ind w:left="720" w:hanging="360"/>
        <w:rPr>
          <w:rFonts w:ascii="Calibri" w:cs="Calibri" w:eastAsia="Calibri" w:hAnsi="Calibri"/>
          <w:i w:val="1"/>
          <w:iCs w:val="1"/>
        </w:rPr>
      </w:pPr>
      <w:r w:rsidDel="00000000" w:rsidR="00000000" w:rsidRPr="00000000">
        <w:rPr>
          <w:rFonts w:ascii="Calibri" w:cs="Calibri" w:eastAsia="Calibri" w:hAnsi="Calibri"/>
          <w:i w:val="1"/>
          <w:iCs w:val="1"/>
          <w:rtl w:val="0"/>
        </w:rPr>
        <w:t xml:space="preserve">Gdybyś miał/a zapytać mnie o moją pracę „bez filtra”, to o co byś zapytał/a?</w:t>
      </w:r>
    </w:p>
    <w:p w:rsidR="00000000" w:rsidDel="00000000" w:rsidP="00000000" w:rsidRDefault="00000000" w:rsidRPr="00000000" w14:paraId="000000AF">
      <w:pPr>
        <w:numPr>
          <w:ilvl w:val="0"/>
          <w:numId w:val="3"/>
        </w:numPr>
        <w:spacing w:after="0" w:lineRule="auto"/>
        <w:ind w:left="720" w:hanging="360"/>
        <w:rPr>
          <w:rFonts w:ascii="Calibri" w:cs="Calibri" w:eastAsia="Calibri" w:hAnsi="Calibri"/>
          <w:i w:val="1"/>
          <w:iCs w:val="1"/>
        </w:rPr>
      </w:pPr>
      <w:r w:rsidDel="00000000" w:rsidR="00000000" w:rsidRPr="00000000">
        <w:rPr>
          <w:rFonts w:ascii="Calibri" w:cs="Calibri" w:eastAsia="Calibri" w:hAnsi="Calibri"/>
          <w:i w:val="1"/>
          <w:iCs w:val="1"/>
          <w:rtl w:val="0"/>
        </w:rPr>
        <w:t xml:space="preserve">Która z Twoich najważniejszych wartości (np. wolność, pomaganie, pieniądze) wydaje Ci się najtrudniejsza do utrzymania w dorosłym życiu?</w:t>
      </w:r>
    </w:p>
    <w:p w:rsidR="00000000" w:rsidDel="00000000" w:rsidP="00000000" w:rsidRDefault="00000000" w:rsidRPr="00000000" w14:paraId="000000B0">
      <w:pPr>
        <w:spacing w:after="0" w:lineRule="auto"/>
        <w:ind w:left="720" w:firstLine="0"/>
        <w:rPr>
          <w:rFonts w:ascii="Calibri" w:cs="Calibri" w:eastAsia="Calibri" w:hAnsi="Calibri"/>
          <w:i w:val="1"/>
          <w:i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1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Wspólna refleksja nad tym, co „pomiędzy wierszami” w świecie pracy, to najlepszy sposób na budowanie odporności i dojrzałości u progu nowej szkoły.</w:t>
      </w:r>
    </w:p>
    <w:p w:rsidR="00000000" w:rsidDel="00000000" w:rsidP="00000000" w:rsidRDefault="00000000" w:rsidRPr="00000000" w14:paraId="000000B2">
      <w:pPr>
        <w:pStyle w:val="Heading3"/>
        <w:keepNext w:val="0"/>
        <w:keepLines w:val="0"/>
        <w:spacing w:after="80" w:before="280" w:lineRule="auto"/>
        <w:rPr>
          <w:sz w:val="18"/>
          <w:szCs w:val="18"/>
        </w:rPr>
      </w:pPr>
      <w:bookmarkStart w:colFirst="0" w:colLast="0" w:name="_heading=h.q72pxwur81cp" w:id="3"/>
      <w:bookmarkEnd w:id="3"/>
      <w:r w:rsidDel="00000000" w:rsidR="00000000" w:rsidRPr="00000000">
        <w:rPr>
          <w:rtl w:val="0"/>
        </w:rPr>
        <w:t xml:space="preserve">Propozycja aktywności w domu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3">
      <w:pPr>
        <w:numPr>
          <w:ilvl w:val="0"/>
          <w:numId w:val="7"/>
        </w:numPr>
        <w:spacing w:after="0" w:lineRule="auto"/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Dziecko może wysłuchać historii pracy jednego z dorosłych w rodzinie (rodzica, dziadka, starszego rodzeństwa) i dowiedzieć się, jak wyglądała jego droga edukacyjna oraz zawodowa.</w:t>
      </w:r>
    </w:p>
    <w:p w:rsidR="00000000" w:rsidDel="00000000" w:rsidP="00000000" w:rsidRDefault="00000000" w:rsidRPr="00000000" w14:paraId="000000B4">
      <w:pPr>
        <w:numPr>
          <w:ilvl w:val="0"/>
          <w:numId w:val="7"/>
        </w:numPr>
        <w:spacing w:after="0" w:lineRule="auto"/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Wspólnie można stworzyć prostą listę zawodów wykonywanych przez osoby z najbliższego otoczenia i zastanowić się, czym różnią się te prace oraz jakie umiejętności są w nich potrzebne.</w:t>
      </w:r>
    </w:p>
    <w:p w:rsidR="00000000" w:rsidDel="00000000" w:rsidP="00000000" w:rsidRDefault="00000000" w:rsidRPr="00000000" w14:paraId="000000B5">
      <w:pPr>
        <w:numPr>
          <w:ilvl w:val="0"/>
          <w:numId w:val="7"/>
        </w:numPr>
        <w:spacing w:after="0" w:lineRule="auto"/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J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eśli to możliwe, dziecko może zobaczyć fragment dnia pracy rodzica lub bliskiej osoby (np. jak wygląda planowanie dnia, przygotowanie do pracy, obowiązki po powrocie).</w:t>
      </w:r>
    </w:p>
    <w:p w:rsidR="00000000" w:rsidDel="00000000" w:rsidP="00000000" w:rsidRDefault="00000000" w:rsidRPr="00000000" w14:paraId="000000B6">
      <w:pPr>
        <w:numPr>
          <w:ilvl w:val="0"/>
          <w:numId w:val="7"/>
        </w:numPr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R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azem można sprawdzić, jak wygląda ścieżka edukacyjna do wybranego zawodu oraz jakie szkoły lub kierunki kształcenia prowadzą do jego wykonywania.</w:t>
      </w:r>
    </w:p>
    <w:p w:rsidR="00000000" w:rsidDel="00000000" w:rsidP="00000000" w:rsidRDefault="00000000" w:rsidRPr="00000000" w14:paraId="000000B7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Takie aktywności pomagają młodym ludziom lepiej zrozumieć realia pracy i różnorodność ścieżek zawodowych.</w:t>
      </w:r>
    </w:p>
    <w:p w:rsidR="00000000" w:rsidDel="00000000" w:rsidP="00000000" w:rsidRDefault="00000000" w:rsidRPr="00000000" w14:paraId="000000B8">
      <w:pPr>
        <w:rPr>
          <w:rFonts w:ascii="Calibri" w:cs="Calibri" w:eastAsia="Calibri" w:hAnsi="Calibri"/>
          <w:b w:val="1"/>
          <w:bCs w:val="1"/>
          <w:color w:val="4f81bd"/>
          <w:sz w:val="26"/>
          <w:szCs w:val="26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4f81bd"/>
          <w:sz w:val="26"/>
          <w:szCs w:val="26"/>
          <w:rtl w:val="0"/>
        </w:rPr>
        <w:t xml:space="preserve">Bibliografia</w:t>
      </w:r>
    </w:p>
    <w:p w:rsidR="00000000" w:rsidDel="00000000" w:rsidP="00000000" w:rsidRDefault="00000000" w:rsidRPr="00000000" w14:paraId="000000B9">
      <w:pPr>
        <w:numPr>
          <w:ilvl w:val="0"/>
          <w:numId w:val="13"/>
        </w:numPr>
        <w:spacing w:after="0" w:lineRule="auto"/>
        <w:ind w:left="720" w:hanging="360"/>
        <w:rPr/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Mołodyńska-Küntzel, D. (2023). </w:t>
      </w:r>
      <w:r w:rsidDel="00000000" w:rsidR="00000000" w:rsidRPr="00000000">
        <w:rPr>
          <w:rFonts w:ascii="Calibri" w:cs="Calibri" w:eastAsia="Calibri" w:hAnsi="Calibri"/>
          <w:i w:val="1"/>
          <w:iCs w:val="1"/>
          <w:rtl w:val="0"/>
        </w:rPr>
        <w:t xml:space="preserve">Żywa Biblioteka. Innowacyjny format odkrywania różnorodności.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Portal „O krok do przodu”.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A">
      <w:pPr>
        <w:numPr>
          <w:ilvl w:val="0"/>
          <w:numId w:val="13"/>
        </w:numPr>
        <w:spacing w:after="0" w:lineRule="auto"/>
        <w:ind w:left="720" w:hanging="360"/>
        <w:rPr/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 Sanak-Kosmowska, K., Karwińska, A., Laurisz, N. (2020). </w:t>
      </w:r>
      <w:r w:rsidDel="00000000" w:rsidR="00000000" w:rsidRPr="00000000">
        <w:rPr>
          <w:rFonts w:ascii="Calibri" w:cs="Calibri" w:eastAsia="Calibri" w:hAnsi="Calibri"/>
          <w:i w:val="1"/>
          <w:iCs w:val="1"/>
          <w:rtl w:val="0"/>
        </w:rPr>
        <w:t xml:space="preserve">Jak działa społeczeństwo.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Kraków: Uniwersytet Ekonomiczny w Krakowie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B">
      <w:pPr>
        <w:numPr>
          <w:ilvl w:val="0"/>
          <w:numId w:val="13"/>
        </w:numPr>
        <w:spacing w:after="0" w:lineRule="auto"/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Stowarzyszenie Diversja. (2021). </w:t>
      </w:r>
      <w:r w:rsidDel="00000000" w:rsidR="00000000" w:rsidRPr="00000000">
        <w:rPr>
          <w:rFonts w:ascii="Calibri" w:cs="Calibri" w:eastAsia="Calibri" w:hAnsi="Calibri"/>
          <w:i w:val="1"/>
          <w:iCs w:val="1"/>
          <w:rtl w:val="0"/>
        </w:rPr>
        <w:t xml:space="preserve">Standardy organizowania Żywej Biblioteki w Polsce.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Wrocław.</w:t>
      </w:r>
    </w:p>
    <w:p w:rsidR="00000000" w:rsidDel="00000000" w:rsidP="00000000" w:rsidRDefault="00000000" w:rsidRPr="00000000" w14:paraId="000000BC">
      <w:pPr>
        <w:numPr>
          <w:ilvl w:val="0"/>
          <w:numId w:val="13"/>
        </w:numPr>
        <w:spacing w:after="0" w:lineRule="auto"/>
        <w:ind w:left="720" w:hanging="360"/>
        <w:rPr/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Szpunar, M. (2020). Rozmawianie bez rozmowy. O kryzysie komunikacji międzyludzkiej. </w:t>
      </w:r>
      <w:r w:rsidDel="00000000" w:rsidR="00000000" w:rsidRPr="00000000">
        <w:rPr>
          <w:rFonts w:ascii="Calibri" w:cs="Calibri" w:eastAsia="Calibri" w:hAnsi="Calibri"/>
          <w:i w:val="1"/>
          <w:iCs w:val="1"/>
          <w:rtl w:val="0"/>
        </w:rPr>
        <w:t xml:space="preserve">Ethos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, nr 1, s. 257–271.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D">
      <w:pPr>
        <w:numPr>
          <w:ilvl w:val="0"/>
          <w:numId w:val="13"/>
        </w:numPr>
        <w:spacing w:after="240" w:lineRule="auto"/>
        <w:ind w:left="720" w:hanging="360"/>
        <w:rPr/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 Żywa Biblioteka Polska. (2022). </w:t>
      </w:r>
      <w:r w:rsidDel="00000000" w:rsidR="00000000" w:rsidRPr="00000000">
        <w:rPr>
          <w:rFonts w:ascii="Calibri" w:cs="Calibri" w:eastAsia="Calibri" w:hAnsi="Calibri"/>
          <w:i w:val="1"/>
          <w:iCs w:val="1"/>
          <w:rtl w:val="0"/>
        </w:rPr>
        <w:t xml:space="preserve">Metoda Żywej Biblioteki – standardy i zasady organizacji.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Wrocław: Sieć Żywa Biblioteka Polska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E">
      <w:pPr>
        <w:rPr>
          <w:rFonts w:ascii="Calibri" w:cs="Calibri" w:eastAsia="Calibri" w:hAnsi="Calibri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F">
      <w:pPr>
        <w:rPr>
          <w:rFonts w:ascii="Calibri" w:cs="Calibri" w:eastAsia="Calibri" w:hAnsi="Calibri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0">
      <w:pPr>
        <w:rPr>
          <w:rFonts w:ascii="Calibri" w:cs="Calibri" w:eastAsia="Calibri" w:hAnsi="Calibri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1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800" w:right="180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libri"/>
  <w:font w:name="Times New Roman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2"/>
        <w:szCs w:val="22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1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4"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1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7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480" w:lineRule="auto"/>
    </w:pPr>
    <w:rPr>
      <w:rFonts w:ascii="Calibri" w:cs="Calibri" w:eastAsia="Calibri" w:hAnsi="Calibri"/>
      <w:b w:val="1"/>
      <w:bCs w:val="1"/>
      <w:color w:val="366091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b w:val="1"/>
      <w:bCs w:val="1"/>
      <w:color w:val="4f81bd"/>
      <w:sz w:val="26"/>
      <w:szCs w:val="26"/>
    </w:rPr>
  </w:style>
  <w:style w:type="paragraph" w:styleId="Heading3">
    <w:name w:val="heading 3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b w:val="1"/>
      <w:bCs w:val="1"/>
      <w:color w:val="4f81bd"/>
    </w:rPr>
  </w:style>
  <w:style w:type="paragraph" w:styleId="Heading4">
    <w:name w:val="heading 4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b w:val="1"/>
      <w:bCs w:val="1"/>
      <w:i w:val="1"/>
      <w:iCs w:val="1"/>
      <w:color w:val="4f81bd"/>
    </w:rPr>
  </w:style>
  <w:style w:type="paragraph" w:styleId="Heading5">
    <w:name w:val="heading 5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color w:val="243f61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i w:val="1"/>
      <w:iCs w:val="1"/>
      <w:color w:val="243f61"/>
    </w:rPr>
  </w:style>
  <w:style w:type="paragraph" w:styleId="Title">
    <w:name w:val="Title"/>
    <w:basedOn w:val="Normal"/>
    <w:next w:val="Normal"/>
    <w:pPr>
      <w:pBdr>
        <w:bottom w:color="4f81bd" w:space="4" w:sz="8" w:val="single"/>
      </w:pBdr>
      <w:spacing w:after="300" w:line="240" w:lineRule="auto"/>
    </w:pPr>
    <w:rPr>
      <w:rFonts w:ascii="Calibri" w:cs="Calibri" w:eastAsia="Calibri" w:hAnsi="Calibri"/>
      <w:color w:val="17365d"/>
      <w:sz w:val="52"/>
      <w:szCs w:val="52"/>
    </w:rPr>
  </w:style>
  <w:style w:type="paragraph" w:styleId="Heading7">
    <w:name w:val="heading 7"/>
    <w:link w:val="Heading7Char"/>
    <w:uiPriority w:val="9"/>
    <w:semiHidden w:val="1"/>
    <w:unhideWhenUsed w:val="1"/>
    <w:qFormat w:val="1"/>
    <w:rsid w:val="00FC693F"/>
    <w:pPr>
      <w:keepNext w:val="1"/>
      <w:keepLines w:val="1"/>
      <w:spacing w:after="0" w:before="200"/>
      <w:outlineLvl w:val="6"/>
    </w:pPr>
    <w:rPr>
      <w:rFonts w:asciiTheme="majorHAnsi" w:cstheme="majorBidi" w:eastAsiaTheme="majorEastAsia" w:hAnsiTheme="majorHAnsi"/>
      <w:i w:val="1"/>
      <w:iCs w:val="1"/>
      <w:color w:val="404040" w:themeColor="text1" w:themeTint="0000BF"/>
    </w:rPr>
  </w:style>
  <w:style w:type="paragraph" w:styleId="Heading8">
    <w:name w:val="heading 8"/>
    <w:link w:val="Heading8Char"/>
    <w:uiPriority w:val="9"/>
    <w:semiHidden w:val="1"/>
    <w:unhideWhenUsed w:val="1"/>
    <w:qFormat w:val="1"/>
    <w:rsid w:val="00FC693F"/>
    <w:pPr>
      <w:keepNext w:val="1"/>
      <w:keepLines w:val="1"/>
      <w:spacing w:after="0" w:before="200"/>
      <w:outlineLvl w:val="7"/>
    </w:pPr>
    <w:rPr>
      <w:rFonts w:asciiTheme="majorHAnsi" w:cstheme="majorBidi" w:eastAsiaTheme="majorEastAsia" w:hAnsiTheme="majorHAnsi"/>
      <w:color w:val="4f81bd" w:themeColor="accent1"/>
      <w:sz w:val="20"/>
      <w:szCs w:val="20"/>
    </w:rPr>
  </w:style>
  <w:style w:type="paragraph" w:styleId="Heading9">
    <w:name w:val="heading 9"/>
    <w:link w:val="Heading9Char"/>
    <w:uiPriority w:val="9"/>
    <w:semiHidden w:val="1"/>
    <w:unhideWhenUsed w:val="1"/>
    <w:qFormat w:val="1"/>
    <w:rsid w:val="00FC693F"/>
    <w:pPr>
      <w:keepNext w:val="1"/>
      <w:keepLines w:val="1"/>
      <w:spacing w:after="0" w:before="200"/>
      <w:outlineLvl w:val="8"/>
    </w:pPr>
    <w:rPr>
      <w:rFonts w:asciiTheme="majorHAnsi" w:cstheme="majorBidi" w:eastAsiaTheme="majorEastAsia" w:hAnsiTheme="majorHAnsi"/>
      <w:i w:val="1"/>
      <w:iCs w:val="1"/>
      <w:color w:val="404040" w:themeColor="text1" w:themeTint="0000BF"/>
      <w:sz w:val="20"/>
      <w:szCs w:val="20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table" w:styleId="TableNormal0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Header">
    <w:name w:val="header"/>
    <w:link w:val="HeaderChar"/>
    <w:uiPriority w:val="99"/>
    <w:unhideWhenUsed w:val="1"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E618BF"/>
  </w:style>
  <w:style w:type="paragraph" w:styleId="Footer">
    <w:name w:val="footer"/>
    <w:link w:val="FooterChar"/>
    <w:uiPriority w:val="99"/>
    <w:unhideWhenUsed w:val="1"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 w:val="1"/>
    <w:rsid w:val="00FC693F"/>
    <w:pPr>
      <w:spacing w:after="0" w:line="240" w:lineRule="auto"/>
    </w:pPr>
  </w:style>
  <w:style w:type="character" w:styleId="Nagwek1Znak" w:customStyle="1">
    <w:name w:val="Nagłówek 1 Znak"/>
    <w:basedOn w:val="DefaultParagraphFont"/>
    <w:uiPriority w:val="9"/>
    <w:rsid w:val="00FC693F"/>
    <w:rPr>
      <w:rFonts w:asciiTheme="majorHAnsi" w:cstheme="majorBidi" w:eastAsiaTheme="majorEastAsia" w:hAnsiTheme="majorHAnsi"/>
      <w:b w:val="1"/>
      <w:bCs w:val="1"/>
      <w:color w:val="365f91" w:themeColor="accent1" w:themeShade="0000BF"/>
      <w:sz w:val="28"/>
      <w:szCs w:val="28"/>
    </w:rPr>
  </w:style>
  <w:style w:type="character" w:styleId="Nagwek2Znak" w:customStyle="1">
    <w:name w:val="Nagłówek 2 Znak"/>
    <w:basedOn w:val="DefaultParagraphFont"/>
    <w:uiPriority w:val="9"/>
    <w:rsid w:val="00FC693F"/>
    <w:rPr>
      <w:rFonts w:asciiTheme="majorHAnsi" w:cstheme="majorBidi" w:eastAsiaTheme="majorEastAsia" w:hAnsiTheme="majorHAnsi"/>
      <w:b w:val="1"/>
      <w:bCs w:val="1"/>
      <w:color w:val="4f81bd" w:themeColor="accent1"/>
      <w:sz w:val="26"/>
      <w:szCs w:val="26"/>
    </w:rPr>
  </w:style>
  <w:style w:type="character" w:styleId="Nagwek3Znak" w:customStyle="1">
    <w:name w:val="Nagłówek 3 Znak"/>
    <w:basedOn w:val="DefaultParagraphFont"/>
    <w:uiPriority w:val="9"/>
    <w:rsid w:val="00FC693F"/>
    <w:rPr>
      <w:rFonts w:asciiTheme="majorHAnsi" w:cstheme="majorBidi" w:eastAsiaTheme="majorEastAsia" w:hAnsiTheme="majorHAnsi"/>
      <w:b w:val="1"/>
      <w:bCs w:val="1"/>
      <w:color w:val="4f81bd" w:themeColor="accent1"/>
    </w:rPr>
  </w:style>
  <w:style w:type="character" w:styleId="TytuZnak" w:customStyle="1">
    <w:name w:val="Tytuł Znak"/>
    <w:basedOn w:val="DefaultParagraphFont"/>
    <w:uiPriority w:val="10"/>
    <w:rsid w:val="00FC693F"/>
    <w:rPr>
      <w:rFonts w:asciiTheme="majorHAnsi" w:cstheme="majorBidi" w:eastAsiaTheme="majorEastAsia" w:hAnsiTheme="majorHAnsi"/>
      <w:color w:val="17365d" w:themeColor="text2" w:themeShade="0000BF"/>
      <w:spacing w:val="5"/>
      <w:kern w:val="28"/>
      <w:sz w:val="52"/>
      <w:szCs w:val="52"/>
    </w:rPr>
  </w:style>
  <w:style w:type="character" w:styleId="PodtytuZnak" w:customStyle="1">
    <w:name w:val="Podtytuł Znak"/>
    <w:basedOn w:val="DefaultParagraphFont"/>
    <w:uiPriority w:val="11"/>
    <w:rsid w:val="00FC693F"/>
    <w:rPr>
      <w:rFonts w:asciiTheme="majorHAnsi" w:cstheme="majorBidi" w:eastAsiaTheme="majorEastAsia" w:hAnsiTheme="majorHAnsi"/>
      <w:i w:val="1"/>
      <w:iCs w:val="1"/>
      <w:color w:val="4f81bd" w:themeColor="accent1"/>
      <w:spacing w:val="15"/>
      <w:sz w:val="24"/>
      <w:szCs w:val="24"/>
    </w:rPr>
  </w:style>
  <w:style w:type="paragraph" w:styleId="ListParagraph">
    <w:name w:val="List Paragraph"/>
    <w:uiPriority w:val="34"/>
    <w:qFormat w:val="1"/>
    <w:rsid w:val="00FC693F"/>
    <w:pPr>
      <w:ind w:left="720"/>
      <w:contextualSpacing w:val="1"/>
    </w:pPr>
  </w:style>
  <w:style w:type="paragraph" w:styleId="BodyText">
    <w:name w:val="Body Text"/>
    <w:link w:val="BodyTextChar"/>
    <w:uiPriority w:val="99"/>
    <w:unhideWhenUsed w:val="1"/>
    <w:rsid w:val="00AA1D8D"/>
    <w:pPr>
      <w:spacing w:after="120"/>
    </w:pPr>
  </w:style>
  <w:style w:type="character" w:styleId="BodyTextChar" w:customStyle="1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link w:val="BodyText2Char"/>
    <w:uiPriority w:val="99"/>
    <w:unhideWhenUsed w:val="1"/>
    <w:rsid w:val="00AA1D8D"/>
    <w:pPr>
      <w:spacing w:after="120" w:line="480" w:lineRule="auto"/>
    </w:pPr>
  </w:style>
  <w:style w:type="character" w:styleId="BodyText2Char" w:customStyle="1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link w:val="BodyText3Char"/>
    <w:uiPriority w:val="99"/>
    <w:unhideWhenUsed w:val="1"/>
    <w:rsid w:val="00AA1D8D"/>
    <w:pPr>
      <w:spacing w:after="120"/>
    </w:pPr>
    <w:rPr>
      <w:sz w:val="16"/>
      <w:szCs w:val="16"/>
    </w:rPr>
  </w:style>
  <w:style w:type="character" w:styleId="BodyText3Char" w:customStyle="1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uiPriority w:val="99"/>
    <w:unhideWhenUsed w:val="1"/>
    <w:rsid w:val="00AA1D8D"/>
    <w:pPr>
      <w:ind w:left="360" w:hanging="360"/>
      <w:contextualSpacing w:val="1"/>
    </w:pPr>
  </w:style>
  <w:style w:type="paragraph" w:styleId="List2">
    <w:name w:val="List 2"/>
    <w:uiPriority w:val="99"/>
    <w:unhideWhenUsed w:val="1"/>
    <w:rsid w:val="00326F90"/>
    <w:pPr>
      <w:ind w:left="720" w:hanging="360"/>
      <w:contextualSpacing w:val="1"/>
    </w:pPr>
  </w:style>
  <w:style w:type="paragraph" w:styleId="List3">
    <w:name w:val="List 3"/>
    <w:uiPriority w:val="99"/>
    <w:unhideWhenUsed w:val="1"/>
    <w:rsid w:val="00326F90"/>
    <w:pPr>
      <w:ind w:left="1080" w:hanging="360"/>
      <w:contextualSpacing w:val="1"/>
    </w:pPr>
  </w:style>
  <w:style w:type="paragraph" w:styleId="ListBullet">
    <w:name w:val="List Bullet"/>
    <w:uiPriority w:val="99"/>
    <w:unhideWhenUsed w:val="1"/>
    <w:rsid w:val="00326F90"/>
    <w:pPr>
      <w:numPr>
        <w:numId w:val="1"/>
      </w:numPr>
      <w:contextualSpacing w:val="1"/>
    </w:pPr>
  </w:style>
  <w:style w:type="paragraph" w:styleId="ListBullet2">
    <w:name w:val="List Bullet 2"/>
    <w:uiPriority w:val="99"/>
    <w:unhideWhenUsed w:val="1"/>
    <w:rsid w:val="00326F90"/>
    <w:pPr>
      <w:numPr>
        <w:numId w:val="2"/>
      </w:numPr>
      <w:contextualSpacing w:val="1"/>
    </w:pPr>
  </w:style>
  <w:style w:type="paragraph" w:styleId="ListBullet3">
    <w:name w:val="List Bullet 3"/>
    <w:uiPriority w:val="99"/>
    <w:unhideWhenUsed w:val="1"/>
    <w:rsid w:val="00326F90"/>
    <w:pPr>
      <w:numPr>
        <w:numId w:val="3"/>
      </w:numPr>
      <w:contextualSpacing w:val="1"/>
    </w:pPr>
  </w:style>
  <w:style w:type="paragraph" w:styleId="ListNumber">
    <w:name w:val="List Number"/>
    <w:uiPriority w:val="99"/>
    <w:unhideWhenUsed w:val="1"/>
    <w:rsid w:val="00326F90"/>
    <w:pPr>
      <w:numPr>
        <w:numId w:val="5"/>
      </w:numPr>
      <w:contextualSpacing w:val="1"/>
    </w:pPr>
  </w:style>
  <w:style w:type="paragraph" w:styleId="ListNumber2">
    <w:name w:val="List Number 2"/>
    <w:uiPriority w:val="99"/>
    <w:unhideWhenUsed w:val="1"/>
    <w:rsid w:val="0029639D"/>
    <w:pPr>
      <w:numPr>
        <w:numId w:val="6"/>
      </w:numPr>
      <w:contextualSpacing w:val="1"/>
    </w:pPr>
  </w:style>
  <w:style w:type="paragraph" w:styleId="ListNumber3">
    <w:name w:val="List Number 3"/>
    <w:uiPriority w:val="99"/>
    <w:unhideWhenUsed w:val="1"/>
    <w:rsid w:val="0029639D"/>
    <w:pPr>
      <w:numPr>
        <w:numId w:val="7"/>
      </w:numPr>
      <w:contextualSpacing w:val="1"/>
    </w:pPr>
  </w:style>
  <w:style w:type="paragraph" w:styleId="ListContinue">
    <w:name w:val="List Continue"/>
    <w:uiPriority w:val="99"/>
    <w:unhideWhenUsed w:val="1"/>
    <w:rsid w:val="0029639D"/>
    <w:pPr>
      <w:spacing w:after="120"/>
      <w:ind w:left="360"/>
      <w:contextualSpacing w:val="1"/>
    </w:pPr>
  </w:style>
  <w:style w:type="paragraph" w:styleId="ListContinue2">
    <w:name w:val="List Continue 2"/>
    <w:uiPriority w:val="99"/>
    <w:unhideWhenUsed w:val="1"/>
    <w:rsid w:val="0029639D"/>
    <w:pPr>
      <w:spacing w:after="120"/>
      <w:ind w:left="720"/>
      <w:contextualSpacing w:val="1"/>
    </w:pPr>
  </w:style>
  <w:style w:type="paragraph" w:styleId="ListContinue3">
    <w:name w:val="List Continue 3"/>
    <w:uiPriority w:val="99"/>
    <w:unhideWhenUsed w:val="1"/>
    <w:rsid w:val="0029639D"/>
    <w:pPr>
      <w:spacing w:after="120"/>
      <w:ind w:left="1080"/>
      <w:contextualSpacing w:val="1"/>
    </w:pPr>
  </w:style>
  <w:style w:type="paragraph" w:styleId="MacroText">
    <w:name w:val="macro"/>
    <w:link w:val="MacroTextChar"/>
    <w:uiPriority w:val="99"/>
    <w:unhideWhenUsed w:val="1"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styleId="MacroTextChar" w:customStyle="1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link w:val="QuoteChar"/>
    <w:uiPriority w:val="29"/>
    <w:qFormat w:val="1"/>
    <w:rsid w:val="00FC693F"/>
    <w:rPr>
      <w:i w:val="1"/>
      <w:iCs w:val="1"/>
      <w:color w:val="000000" w:themeColor="text1"/>
    </w:rPr>
  </w:style>
  <w:style w:type="character" w:styleId="QuoteChar" w:customStyle="1">
    <w:name w:val="Quote Char"/>
    <w:basedOn w:val="DefaultParagraphFont"/>
    <w:link w:val="Quote"/>
    <w:uiPriority w:val="29"/>
    <w:rsid w:val="00FC693F"/>
    <w:rPr>
      <w:i w:val="1"/>
      <w:iCs w:val="1"/>
      <w:color w:val="000000" w:themeColor="text1"/>
    </w:rPr>
  </w:style>
  <w:style w:type="character" w:styleId="Nagwek4Znak" w:customStyle="1">
    <w:name w:val="Nagłówek 4 Znak"/>
    <w:basedOn w:val="DefaultParagraphFont"/>
    <w:uiPriority w:val="9"/>
    <w:rsid w:val="00FC693F"/>
    <w:rPr>
      <w:rFonts w:asciiTheme="majorHAnsi" w:cstheme="majorBidi" w:eastAsiaTheme="majorEastAsia" w:hAnsiTheme="majorHAnsi"/>
      <w:b w:val="1"/>
      <w:bCs w:val="1"/>
      <w:i w:val="1"/>
      <w:iCs w:val="1"/>
      <w:color w:val="4f81bd" w:themeColor="accent1"/>
    </w:rPr>
  </w:style>
  <w:style w:type="character" w:styleId="Nagwek5Znak" w:customStyle="1">
    <w:name w:val="Nagłówek 5 Znak"/>
    <w:basedOn w:val="DefaultParagraphFont"/>
    <w:uiPriority w:val="9"/>
    <w:semiHidden w:val="1"/>
    <w:rsid w:val="00FC693F"/>
    <w:rPr>
      <w:rFonts w:asciiTheme="majorHAnsi" w:cstheme="majorBidi" w:eastAsiaTheme="majorEastAsia" w:hAnsiTheme="majorHAnsi"/>
      <w:color w:val="243f60" w:themeColor="accent1" w:themeShade="00007F"/>
    </w:rPr>
  </w:style>
  <w:style w:type="character" w:styleId="Nagwek6Znak" w:customStyle="1">
    <w:name w:val="Nagłówek 6 Znak"/>
    <w:basedOn w:val="DefaultParagraphFont"/>
    <w:uiPriority w:val="9"/>
    <w:semiHidden w:val="1"/>
    <w:rsid w:val="00FC693F"/>
    <w:rPr>
      <w:rFonts w:asciiTheme="majorHAnsi" w:cstheme="majorBidi" w:eastAsiaTheme="majorEastAsia" w:hAnsiTheme="majorHAnsi"/>
      <w:i w:val="1"/>
      <w:iCs w:val="1"/>
      <w:color w:val="243f60" w:themeColor="accent1" w:themeShade="00007F"/>
    </w:rPr>
  </w:style>
  <w:style w:type="character" w:styleId="Heading7Char" w:customStyle="1">
    <w:name w:val="Heading 7 Char"/>
    <w:basedOn w:val="DefaultParagraphFont"/>
    <w:link w:val="Heading7"/>
    <w:uiPriority w:val="9"/>
    <w:semiHidden w:val="1"/>
    <w:rsid w:val="00FC693F"/>
    <w:rPr>
      <w:rFonts w:asciiTheme="majorHAnsi" w:cstheme="majorBidi" w:eastAsiaTheme="majorEastAsia" w:hAnsiTheme="majorHAnsi"/>
      <w:i w:val="1"/>
      <w:iCs w:val="1"/>
      <w:color w:val="404040" w:themeColor="text1" w:themeTint="0000BF"/>
    </w:rPr>
  </w:style>
  <w:style w:type="character" w:styleId="Heading8Char" w:customStyle="1">
    <w:name w:val="Heading 8 Char"/>
    <w:basedOn w:val="DefaultParagraphFont"/>
    <w:link w:val="Heading8"/>
    <w:uiPriority w:val="9"/>
    <w:semiHidden w:val="1"/>
    <w:rsid w:val="00FC693F"/>
    <w:rPr>
      <w:rFonts w:asciiTheme="majorHAnsi" w:cstheme="majorBidi" w:eastAsiaTheme="majorEastAsia" w:hAnsiTheme="majorHAnsi"/>
      <w:color w:val="4f81bd" w:themeColor="accent1"/>
      <w:sz w:val="20"/>
      <w:szCs w:val="20"/>
    </w:rPr>
  </w:style>
  <w:style w:type="character" w:styleId="Heading9Char" w:customStyle="1">
    <w:name w:val="Heading 9 Char"/>
    <w:basedOn w:val="DefaultParagraphFont"/>
    <w:link w:val="Heading9"/>
    <w:uiPriority w:val="9"/>
    <w:semiHidden w:val="1"/>
    <w:rsid w:val="00FC693F"/>
    <w:rPr>
      <w:rFonts w:asciiTheme="majorHAnsi" w:cstheme="majorBidi" w:eastAsiaTheme="majorEastAsia" w:hAnsiTheme="majorHAnsi"/>
      <w:i w:val="1"/>
      <w:iCs w:val="1"/>
      <w:color w:val="404040" w:themeColor="text1" w:themeTint="0000BF"/>
      <w:sz w:val="20"/>
      <w:szCs w:val="20"/>
    </w:rPr>
  </w:style>
  <w:style w:type="paragraph" w:styleId="Caption">
    <w:name w:val="caption"/>
    <w:uiPriority w:val="35"/>
    <w:semiHidden w:val="1"/>
    <w:unhideWhenUsed w:val="1"/>
    <w:qFormat w:val="1"/>
    <w:rsid w:val="00FC693F"/>
    <w:pPr>
      <w:spacing w:line="240" w:lineRule="auto"/>
    </w:pPr>
    <w:rPr>
      <w:b w:val="1"/>
      <w:bCs w:val="1"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 w:val="1"/>
    <w:rsid w:val="00FC693F"/>
    <w:rPr>
      <w:b w:val="1"/>
      <w:bCs w:val="1"/>
    </w:rPr>
  </w:style>
  <w:style w:type="character" w:styleId="Emphasis">
    <w:name w:val="Emphasis"/>
    <w:basedOn w:val="DefaultParagraphFont"/>
    <w:uiPriority w:val="20"/>
    <w:qFormat w:val="1"/>
    <w:rsid w:val="00FC693F"/>
    <w:rPr>
      <w:i w:val="1"/>
      <w:iCs w:val="1"/>
    </w:rPr>
  </w:style>
  <w:style w:type="paragraph" w:styleId="IntenseQuote">
    <w:name w:val="Intense Quote"/>
    <w:link w:val="IntenseQuoteChar"/>
    <w:uiPriority w:val="30"/>
    <w:qFormat w:val="1"/>
    <w:rsid w:val="00FC693F"/>
    <w:pPr>
      <w:pBdr>
        <w:bottom w:color="4f81bd" w:space="4" w:sz="4" w:themeColor="accent1" w:val="single"/>
      </w:pBdr>
      <w:spacing w:after="280" w:before="200"/>
      <w:ind w:left="936" w:right="936"/>
    </w:pPr>
    <w:rPr>
      <w:b w:val="1"/>
      <w:bCs w:val="1"/>
      <w:i w:val="1"/>
      <w:iCs w:val="1"/>
      <w:color w:val="4f81bd" w:themeColor="accent1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FC693F"/>
    <w:rPr>
      <w:b w:val="1"/>
      <w:bCs w:val="1"/>
      <w:i w:val="1"/>
      <w:iCs w:val="1"/>
      <w:color w:val="4f81bd" w:themeColor="accent1"/>
    </w:rPr>
  </w:style>
  <w:style w:type="character" w:styleId="SubtleEmphasis">
    <w:name w:val="Subtle Emphasis"/>
    <w:basedOn w:val="DefaultParagraphFont"/>
    <w:uiPriority w:val="19"/>
    <w:qFormat w:val="1"/>
    <w:rsid w:val="00FC693F"/>
    <w:rPr>
      <w:i w:val="1"/>
      <w:iCs w:val="1"/>
      <w:color w:val="808080" w:themeColor="text1" w:themeTint="00007F"/>
    </w:rPr>
  </w:style>
  <w:style w:type="character" w:styleId="IntenseEmphasis">
    <w:name w:val="Intense Emphasis"/>
    <w:basedOn w:val="DefaultParagraphFont"/>
    <w:uiPriority w:val="21"/>
    <w:qFormat w:val="1"/>
    <w:rsid w:val="00FC693F"/>
    <w:rPr>
      <w:b w:val="1"/>
      <w:bCs w:val="1"/>
      <w:i w:val="1"/>
      <w:iCs w:val="1"/>
      <w:color w:val="4f81bd" w:themeColor="accent1"/>
    </w:rPr>
  </w:style>
  <w:style w:type="character" w:styleId="SubtleReference">
    <w:name w:val="Subtle Reference"/>
    <w:basedOn w:val="DefaultParagraphFont"/>
    <w:uiPriority w:val="31"/>
    <w:qFormat w:val="1"/>
    <w:rsid w:val="00FC693F"/>
    <w:rPr>
      <w:smallCaps w:val="1"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 w:val="1"/>
    <w:rsid w:val="00FC693F"/>
    <w:rPr>
      <w:b w:val="1"/>
      <w:bCs w:val="1"/>
      <w:smallCaps w:val="1"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 w:val="1"/>
    <w:rsid w:val="00FC693F"/>
    <w:rPr>
      <w:b w:val="1"/>
      <w:bCs w:val="1"/>
      <w:smallCaps w:val="1"/>
      <w:spacing w:val="5"/>
    </w:rPr>
  </w:style>
  <w:style w:type="paragraph" w:styleId="TOCHeading">
    <w:name w:val="TOC Heading"/>
    <w:uiPriority w:val="39"/>
    <w:semiHidden w:val="1"/>
    <w:unhideWhenUsed w:val="1"/>
    <w:qFormat w:val="1"/>
    <w:rsid w:val="00FC693F"/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0000BF"/>
    </w:rPr>
    <w:tblPr>
      <w:tblStyleRowBandSize w:val="1"/>
      <w:tblStyleColBandSize w:val="1"/>
      <w:tblBorders>
        <w:top w:color="000000" w:space="0" w:sz="8" w:themeColor="text1" w:val="single"/>
        <w:bottom w:color="000000" w:space="0" w:sz="8" w:themeColor="text1" w:val="single"/>
      </w:tblBorders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000000" w:space="0" w:sz="8" w:themeColor="text1" w:val="single"/>
          <w:left w:space="0" w:sz="0" w:val="nil"/>
          <w:bottom w:color="000000" w:space="0" w:sz="8" w:themeColor="text1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000000" w:space="0" w:sz="8" w:themeColor="text1" w:val="single"/>
          <w:left w:space="0" w:sz="0" w:val="nil"/>
          <w:bottom w:color="000000" w:space="0" w:sz="8" w:themeColor="text1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0000BF"/>
    </w:rPr>
    <w:tblPr>
      <w:tblStyleRowBandSize w:val="1"/>
      <w:tblStyleColBandSize w:val="1"/>
      <w:tblBorders>
        <w:top w:color="4f81bd" w:space="0" w:sz="8" w:themeColor="accent1" w:val="single"/>
        <w:bottom w:color="4f81bd" w:space="0" w:sz="8" w:themeColor="accent1" w:val="single"/>
      </w:tblBorders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4f81bd" w:space="0" w:sz="8" w:themeColor="accent1" w:val="single"/>
          <w:left w:space="0" w:sz="0" w:val="nil"/>
          <w:bottom w:color="4f81bd" w:space="0" w:sz="8" w:themeColor="accent1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4f81bd" w:space="0" w:sz="8" w:themeColor="accent1" w:val="single"/>
          <w:left w:space="0" w:sz="0" w:val="nil"/>
          <w:bottom w:color="4f81bd" w:space="0" w:sz="8" w:themeColor="accent1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3dfee" w:themeFill="accent1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3dfee" w:themeFill="accent1" w:themeFillTint="00003F" w:val="clear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0000BF"/>
    </w:rPr>
    <w:tblPr>
      <w:tblStyleRowBandSize w:val="1"/>
      <w:tblStyleColBandSize w:val="1"/>
      <w:tblBorders>
        <w:top w:color="c0504d" w:space="0" w:sz="8" w:themeColor="accent2" w:val="single"/>
        <w:bottom w:color="c0504d" w:space="0" w:sz="8" w:themeColor="accent2" w:val="single"/>
      </w:tblBorders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c0504d" w:space="0" w:sz="8" w:themeColor="accent2" w:val="single"/>
          <w:left w:space="0" w:sz="0" w:val="nil"/>
          <w:bottom w:color="c0504d" w:space="0" w:sz="8" w:themeColor="accent2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c0504d" w:space="0" w:sz="8" w:themeColor="accent2" w:val="single"/>
          <w:left w:space="0" w:sz="0" w:val="nil"/>
          <w:bottom w:color="c0504d" w:space="0" w:sz="8" w:themeColor="accent2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0000BF"/>
    </w:rPr>
    <w:tblPr>
      <w:tblStyleRowBandSize w:val="1"/>
      <w:tblStyleColBandSize w:val="1"/>
      <w:tblBorders>
        <w:top w:color="9bbb59" w:space="0" w:sz="8" w:themeColor="accent3" w:val="single"/>
        <w:bottom w:color="9bbb59" w:space="0" w:sz="8" w:themeColor="accent3" w:val="single"/>
      </w:tblBorders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9bbb59" w:space="0" w:sz="8" w:themeColor="accent3" w:val="single"/>
          <w:left w:space="0" w:sz="0" w:val="nil"/>
          <w:bottom w:color="9bbb59" w:space="0" w:sz="8" w:themeColor="accent3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9bbb59" w:space="0" w:sz="8" w:themeColor="accent3" w:val="single"/>
          <w:left w:space="0" w:sz="0" w:val="nil"/>
          <w:bottom w:color="9bbb59" w:space="0" w:sz="8" w:themeColor="accent3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6eed5" w:themeFill="accent3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6eed5" w:themeFill="accent3" w:themeFillTint="00003F" w:val="clear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0000BF"/>
    </w:rPr>
    <w:tblPr>
      <w:tblStyleRowBandSize w:val="1"/>
      <w:tblStyleColBandSize w:val="1"/>
      <w:tblBorders>
        <w:top w:color="8064a2" w:space="0" w:sz="8" w:themeColor="accent4" w:val="single"/>
        <w:bottom w:color="8064a2" w:space="0" w:sz="8" w:themeColor="accent4" w:val="single"/>
      </w:tblBorders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8064a2" w:space="0" w:sz="8" w:themeColor="accent4" w:val="single"/>
          <w:left w:space="0" w:sz="0" w:val="nil"/>
          <w:bottom w:color="8064a2" w:space="0" w:sz="8" w:themeColor="accent4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8064a2" w:space="0" w:sz="8" w:themeColor="accent4" w:val="single"/>
          <w:left w:space="0" w:sz="0" w:val="nil"/>
          <w:bottom w:color="8064a2" w:space="0" w:sz="8" w:themeColor="accent4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fd8e8" w:themeFill="accent4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fd8e8" w:themeFill="accent4" w:themeFillTint="00003F" w:val="clear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0000BF"/>
    </w:rPr>
    <w:tblPr>
      <w:tblStyleRowBandSize w:val="1"/>
      <w:tblStyleColBandSize w:val="1"/>
      <w:tblBorders>
        <w:top w:color="4bacc6" w:space="0" w:sz="8" w:themeColor="accent5" w:val="single"/>
        <w:bottom w:color="4bacc6" w:space="0" w:sz="8" w:themeColor="accent5" w:val="single"/>
      </w:tblBorders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4bacc6" w:space="0" w:sz="8" w:themeColor="accent5" w:val="single"/>
          <w:left w:space="0" w:sz="0" w:val="nil"/>
          <w:bottom w:color="4bacc6" w:space="0" w:sz="8" w:themeColor="accent5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4bacc6" w:space="0" w:sz="8" w:themeColor="accent5" w:val="single"/>
          <w:left w:space="0" w:sz="0" w:val="nil"/>
          <w:bottom w:color="4bacc6" w:space="0" w:sz="8" w:themeColor="accent5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2eaf1" w:themeFill="accent5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2eaf1" w:themeFill="accent5" w:themeFillTint="00003F" w:val="clear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0000BF"/>
    </w:rPr>
    <w:tblPr>
      <w:tblStyleRowBandSize w:val="1"/>
      <w:tblStyleColBandSize w:val="1"/>
      <w:tblBorders>
        <w:top w:color="f79646" w:space="0" w:sz="8" w:themeColor="accent6" w:val="single"/>
        <w:bottom w:color="f79646" w:space="0" w:sz="8" w:themeColor="accent6" w:val="single"/>
      </w:tblBorders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f79646" w:space="0" w:sz="8" w:themeColor="accent6" w:val="single"/>
          <w:left w:space="0" w:sz="0" w:val="nil"/>
          <w:bottom w:color="f79646" w:space="0" w:sz="8" w:themeColor="accent6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f79646" w:space="0" w:sz="8" w:themeColor="accent6" w:val="single"/>
          <w:left w:space="0" w:sz="0" w:val="nil"/>
          <w:bottom w:color="f79646" w:space="0" w:sz="8" w:themeColor="accent6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de4d0" w:themeFill="accent6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de4d0" w:themeFill="accent6" w:themeFillTint="00003F" w:val="clear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color="000000" w:space="0" w:sz="8" w:themeColor="text1" w:val="single"/>
        <w:left w:color="000000" w:space="0" w:sz="8" w:themeColor="text1" w:val="single"/>
        <w:bottom w:color="000000" w:space="0" w:sz="8" w:themeColor="text1" w:val="single"/>
        <w:right w:color="000000" w:space="0" w:sz="8" w:themeColor="text1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000000" w:themeFill="text1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000000" w:space="0" w:sz="6" w:themeColor="text1" w:val="doub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</w:tcPr>
    </w:tblStylePr>
    <w:tblStylePr w:type="band1Horz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color="4f81bd" w:space="0" w:sz="8" w:themeColor="accent1" w:val="single"/>
        <w:left w:color="4f81bd" w:space="0" w:sz="8" w:themeColor="accent1" w:val="single"/>
        <w:bottom w:color="4f81bd" w:space="0" w:sz="8" w:themeColor="accent1" w:val="single"/>
        <w:right w:color="4f81bd" w:space="0" w:sz="8" w:themeColor="accent1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4f81bd" w:themeFill="accent1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4f81bd" w:space="0" w:sz="6" w:themeColor="accent1" w:val="doub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</w:tcBorders>
      </w:tcPr>
    </w:tblStylePr>
    <w:tblStylePr w:type="band1Horz"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color="c0504d" w:space="0" w:sz="8" w:themeColor="accent2" w:val="single"/>
        <w:left w:color="c0504d" w:space="0" w:sz="8" w:themeColor="accent2" w:val="single"/>
        <w:bottom w:color="c0504d" w:space="0" w:sz="8" w:themeColor="accent2" w:val="single"/>
        <w:right w:color="c0504d" w:space="0" w:sz="8" w:themeColor="accent2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c0504d" w:themeFill="accent2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c0504d" w:space="0" w:sz="6" w:themeColor="accent2" w:val="doub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</w:tcBorders>
      </w:tcPr>
    </w:tblStylePr>
    <w:tblStylePr w:type="band1Horz"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color="9bbb59" w:space="0" w:sz="8" w:themeColor="accent3" w:val="single"/>
        <w:left w:color="9bbb59" w:space="0" w:sz="8" w:themeColor="accent3" w:val="single"/>
        <w:bottom w:color="9bbb59" w:space="0" w:sz="8" w:themeColor="accent3" w:val="single"/>
        <w:right w:color="9bbb59" w:space="0" w:sz="8" w:themeColor="accent3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9bbb59" w:themeFill="accent3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9bbb59" w:space="0" w:sz="6" w:themeColor="accent3" w:val="doub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</w:tcBorders>
      </w:tcPr>
    </w:tblStylePr>
    <w:tblStylePr w:type="band1Horz"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color="8064a2" w:space="0" w:sz="8" w:themeColor="accent4" w:val="single"/>
        <w:left w:color="8064a2" w:space="0" w:sz="8" w:themeColor="accent4" w:val="single"/>
        <w:bottom w:color="8064a2" w:space="0" w:sz="8" w:themeColor="accent4" w:val="single"/>
        <w:right w:color="8064a2" w:space="0" w:sz="8" w:themeColor="accent4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8064a2" w:themeFill="accent4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8064a2" w:space="0" w:sz="6" w:themeColor="accent4" w:val="doub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</w:tcBorders>
      </w:tcPr>
    </w:tblStylePr>
    <w:tblStylePr w:type="band1Horz"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color="4bacc6" w:space="0" w:sz="8" w:themeColor="accent5" w:val="single"/>
        <w:left w:color="4bacc6" w:space="0" w:sz="8" w:themeColor="accent5" w:val="single"/>
        <w:bottom w:color="4bacc6" w:space="0" w:sz="8" w:themeColor="accent5" w:val="single"/>
        <w:right w:color="4bacc6" w:space="0" w:sz="8" w:themeColor="accent5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4bacc6" w:themeFill="accent5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4bacc6" w:space="0" w:sz="6" w:themeColor="accent5" w:val="doub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</w:tcBorders>
      </w:tcPr>
    </w:tblStylePr>
    <w:tblStylePr w:type="band1Horz"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color="f79646" w:space="0" w:sz="8" w:themeColor="accent6" w:val="single"/>
        <w:left w:color="f79646" w:space="0" w:sz="8" w:themeColor="accent6" w:val="single"/>
        <w:bottom w:color="f79646" w:space="0" w:sz="8" w:themeColor="accent6" w:val="single"/>
        <w:right w:color="f79646" w:space="0" w:sz="8" w:themeColor="accent6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f79646" w:themeFill="accent6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f79646" w:space="0" w:sz="6" w:themeColor="accent6" w:val="doub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</w:tcBorders>
      </w:tcPr>
    </w:tblStylePr>
    <w:tblStylePr w:type="band1Horz"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color="000000" w:space="0" w:sz="8" w:themeColor="text1" w:val="single"/>
        <w:left w:color="000000" w:space="0" w:sz="8" w:themeColor="text1" w:val="single"/>
        <w:bottom w:color="000000" w:space="0" w:sz="8" w:themeColor="text1" w:val="single"/>
        <w:right w:color="000000" w:space="0" w:sz="8" w:themeColor="text1" w:val="single"/>
        <w:insideH w:color="000000" w:space="0" w:sz="8" w:themeColor="text1" w:val="single"/>
        <w:insideV w:color="000000" w:space="0" w:sz="8" w:themeColor="text1" w:val="single"/>
      </w:tblBorders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18" w:themeColor="text1" w:val="single"/>
          <w:right w:color="000000" w:space="0" w:sz="8" w:themeColor="text1" w:val="single"/>
          <w:insideH w:space="0" w:sz="0" w:val="nil"/>
          <w:insideV w:color="000000" w:space="0" w:sz="8" w:themeColor="text1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000000" w:space="0" w:sz="6" w:themeColor="text1" w:val="doub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  <w:insideH w:space="0" w:sz="0" w:val="nil"/>
          <w:insideV w:color="000000" w:space="0" w:sz="8" w:themeColor="text1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</w:tcPr>
    </w:tblStylePr>
    <w:tblStylePr w:type="band1Vert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  <w:shd w:color="auto" w:fill="c0c0c0" w:themeFill="text1" w:themeFillTint="00003F" w:val="clear"/>
      </w:tcPr>
    </w:tblStylePr>
    <w:tblStylePr w:type="band1Horz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  <w:insideV w:color="000000" w:space="0" w:sz="8" w:themeColor="text1" w:val="single"/>
        </w:tcBorders>
        <w:shd w:color="auto" w:fill="c0c0c0" w:themeFill="text1" w:themeFillTint="00003F" w:val="clear"/>
      </w:tcPr>
    </w:tblStylePr>
    <w:tblStylePr w:type="band2Horz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  <w:insideV w:color="000000" w:space="0" w:sz="8" w:themeColor="text1" w:val="single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color="4f81bd" w:space="0" w:sz="8" w:themeColor="accent1" w:val="single"/>
        <w:left w:color="4f81bd" w:space="0" w:sz="8" w:themeColor="accent1" w:val="single"/>
        <w:bottom w:color="4f81bd" w:space="0" w:sz="8" w:themeColor="accent1" w:val="single"/>
        <w:right w:color="4f81bd" w:space="0" w:sz="8" w:themeColor="accent1" w:val="single"/>
        <w:insideH w:color="4f81bd" w:space="0" w:sz="8" w:themeColor="accent1" w:val="single"/>
        <w:insideV w:color="4f81bd" w:space="0" w:sz="8" w:themeColor="accent1" w:val="single"/>
      </w:tblBorders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18" w:themeColor="accent1" w:val="single"/>
          <w:right w:color="4f81bd" w:space="0" w:sz="8" w:themeColor="accent1" w:val="single"/>
          <w:insideH w:space="0" w:sz="0" w:val="nil"/>
          <w:insideV w:color="4f81bd" w:space="0" w:sz="8" w:themeColor="accent1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f81bd" w:space="0" w:sz="6" w:themeColor="accent1" w:val="doub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  <w:insideH w:space="0" w:sz="0" w:val="nil"/>
          <w:insideV w:color="4f81bd" w:space="0" w:sz="8" w:themeColor="accent1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</w:tcBorders>
      </w:tcPr>
    </w:tblStylePr>
    <w:tblStylePr w:type="band1Vert"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</w:tcBorders>
        <w:shd w:color="auto" w:fill="d3dfee" w:themeFill="accent1" w:themeFillTint="00003F" w:val="clear"/>
      </w:tcPr>
    </w:tblStylePr>
    <w:tblStylePr w:type="band1Horz"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  <w:insideV w:color="4f81bd" w:space="0" w:sz="8" w:themeColor="accent1" w:val="single"/>
        </w:tcBorders>
        <w:shd w:color="auto" w:fill="d3dfee" w:themeFill="accent1" w:themeFillTint="00003F" w:val="clear"/>
      </w:tcPr>
    </w:tblStylePr>
    <w:tblStylePr w:type="band2Horz"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  <w:insideV w:color="4f81bd" w:space="0" w:sz="8" w:themeColor="accent1" w:val="single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color="c0504d" w:space="0" w:sz="8" w:themeColor="accent2" w:val="single"/>
        <w:left w:color="c0504d" w:space="0" w:sz="8" w:themeColor="accent2" w:val="single"/>
        <w:bottom w:color="c0504d" w:space="0" w:sz="8" w:themeColor="accent2" w:val="single"/>
        <w:right w:color="c0504d" w:space="0" w:sz="8" w:themeColor="accent2" w:val="single"/>
        <w:insideH w:color="c0504d" w:space="0" w:sz="8" w:themeColor="accent2" w:val="single"/>
        <w:insideV w:color="c0504d" w:space="0" w:sz="8" w:themeColor="accent2" w:val="single"/>
      </w:tblBorders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18" w:themeColor="accent2" w:val="single"/>
          <w:right w:color="c0504d" w:space="0" w:sz="8" w:themeColor="accent2" w:val="single"/>
          <w:insideH w:space="0" w:sz="0" w:val="nil"/>
          <w:insideV w:color="c0504d" w:space="0" w:sz="8" w:themeColor="accent2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c0504d" w:space="0" w:sz="6" w:themeColor="accent2" w:val="doub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  <w:insideH w:space="0" w:sz="0" w:val="nil"/>
          <w:insideV w:color="c0504d" w:space="0" w:sz="8" w:themeColor="accent2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</w:tcBorders>
      </w:tcPr>
    </w:tblStylePr>
    <w:tblStylePr w:type="band1Vert"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</w:tcBorders>
        <w:shd w:color="auto" w:fill="efd3d2" w:themeFill="accent2" w:themeFillTint="00003F" w:val="clear"/>
      </w:tcPr>
    </w:tblStylePr>
    <w:tblStylePr w:type="band1Horz"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  <w:insideV w:color="c0504d" w:space="0" w:sz="8" w:themeColor="accent2" w:val="single"/>
        </w:tcBorders>
        <w:shd w:color="auto" w:fill="efd3d2" w:themeFill="accent2" w:themeFillTint="00003F" w:val="clear"/>
      </w:tcPr>
    </w:tblStylePr>
    <w:tblStylePr w:type="band2Horz"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  <w:insideV w:color="c0504d" w:space="0" w:sz="8" w:themeColor="accent2" w:val="single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color="9bbb59" w:space="0" w:sz="8" w:themeColor="accent3" w:val="single"/>
        <w:left w:color="9bbb59" w:space="0" w:sz="8" w:themeColor="accent3" w:val="single"/>
        <w:bottom w:color="9bbb59" w:space="0" w:sz="8" w:themeColor="accent3" w:val="single"/>
        <w:right w:color="9bbb59" w:space="0" w:sz="8" w:themeColor="accent3" w:val="single"/>
        <w:insideH w:color="9bbb59" w:space="0" w:sz="8" w:themeColor="accent3" w:val="single"/>
        <w:insideV w:color="9bbb59" w:space="0" w:sz="8" w:themeColor="accent3" w:val="single"/>
      </w:tblBorders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18" w:themeColor="accent3" w:val="single"/>
          <w:right w:color="9bbb59" w:space="0" w:sz="8" w:themeColor="accent3" w:val="single"/>
          <w:insideH w:space="0" w:sz="0" w:val="nil"/>
          <w:insideV w:color="9bbb59" w:space="0" w:sz="8" w:themeColor="accent3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9bbb59" w:space="0" w:sz="6" w:themeColor="accent3" w:val="doub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  <w:insideH w:space="0" w:sz="0" w:val="nil"/>
          <w:insideV w:color="9bbb59" w:space="0" w:sz="8" w:themeColor="accent3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</w:tcBorders>
      </w:tcPr>
    </w:tblStylePr>
    <w:tblStylePr w:type="band1Vert"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</w:tcBorders>
        <w:shd w:color="auto" w:fill="e6eed5" w:themeFill="accent3" w:themeFillTint="00003F" w:val="clear"/>
      </w:tcPr>
    </w:tblStylePr>
    <w:tblStylePr w:type="band1Horz"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  <w:insideV w:color="9bbb59" w:space="0" w:sz="8" w:themeColor="accent3" w:val="single"/>
        </w:tcBorders>
        <w:shd w:color="auto" w:fill="e6eed5" w:themeFill="accent3" w:themeFillTint="00003F" w:val="clear"/>
      </w:tcPr>
    </w:tblStylePr>
    <w:tblStylePr w:type="band2Horz"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  <w:insideV w:color="9bbb59" w:space="0" w:sz="8" w:themeColor="accent3" w:val="single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color="8064a2" w:space="0" w:sz="8" w:themeColor="accent4" w:val="single"/>
        <w:left w:color="8064a2" w:space="0" w:sz="8" w:themeColor="accent4" w:val="single"/>
        <w:bottom w:color="8064a2" w:space="0" w:sz="8" w:themeColor="accent4" w:val="single"/>
        <w:right w:color="8064a2" w:space="0" w:sz="8" w:themeColor="accent4" w:val="single"/>
        <w:insideH w:color="8064a2" w:space="0" w:sz="8" w:themeColor="accent4" w:val="single"/>
        <w:insideV w:color="8064a2" w:space="0" w:sz="8" w:themeColor="accent4" w:val="single"/>
      </w:tblBorders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18" w:themeColor="accent4" w:val="single"/>
          <w:right w:color="8064a2" w:space="0" w:sz="8" w:themeColor="accent4" w:val="single"/>
          <w:insideH w:space="0" w:sz="0" w:val="nil"/>
          <w:insideV w:color="8064a2" w:space="0" w:sz="8" w:themeColor="accent4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8064a2" w:space="0" w:sz="6" w:themeColor="accent4" w:val="doub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  <w:insideH w:space="0" w:sz="0" w:val="nil"/>
          <w:insideV w:color="8064a2" w:space="0" w:sz="8" w:themeColor="accent4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</w:tcBorders>
      </w:tcPr>
    </w:tblStylePr>
    <w:tblStylePr w:type="band1Vert"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</w:tcBorders>
        <w:shd w:color="auto" w:fill="dfd8e8" w:themeFill="accent4" w:themeFillTint="00003F" w:val="clear"/>
      </w:tcPr>
    </w:tblStylePr>
    <w:tblStylePr w:type="band1Horz"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  <w:insideV w:color="8064a2" w:space="0" w:sz="8" w:themeColor="accent4" w:val="single"/>
        </w:tcBorders>
        <w:shd w:color="auto" w:fill="dfd8e8" w:themeFill="accent4" w:themeFillTint="00003F" w:val="clear"/>
      </w:tcPr>
    </w:tblStylePr>
    <w:tblStylePr w:type="band2Horz"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  <w:insideV w:color="8064a2" w:space="0" w:sz="8" w:themeColor="accent4" w:val="single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color="4bacc6" w:space="0" w:sz="8" w:themeColor="accent5" w:val="single"/>
        <w:left w:color="4bacc6" w:space="0" w:sz="8" w:themeColor="accent5" w:val="single"/>
        <w:bottom w:color="4bacc6" w:space="0" w:sz="8" w:themeColor="accent5" w:val="single"/>
        <w:right w:color="4bacc6" w:space="0" w:sz="8" w:themeColor="accent5" w:val="single"/>
        <w:insideH w:color="4bacc6" w:space="0" w:sz="8" w:themeColor="accent5" w:val="single"/>
        <w:insideV w:color="4bacc6" w:space="0" w:sz="8" w:themeColor="accent5" w:val="single"/>
      </w:tblBorders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18" w:themeColor="accent5" w:val="single"/>
          <w:right w:color="4bacc6" w:space="0" w:sz="8" w:themeColor="accent5" w:val="single"/>
          <w:insideH w:space="0" w:sz="0" w:val="nil"/>
          <w:insideV w:color="4bacc6" w:space="0" w:sz="8" w:themeColor="accent5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bacc6" w:space="0" w:sz="6" w:themeColor="accent5" w:val="doub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  <w:insideH w:space="0" w:sz="0" w:val="nil"/>
          <w:insideV w:color="4bacc6" w:space="0" w:sz="8" w:themeColor="accent5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</w:tcBorders>
      </w:tcPr>
    </w:tblStylePr>
    <w:tblStylePr w:type="band1Vert"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</w:tcBorders>
        <w:shd w:color="auto" w:fill="d2eaf1" w:themeFill="accent5" w:themeFillTint="00003F" w:val="clear"/>
      </w:tcPr>
    </w:tblStylePr>
    <w:tblStylePr w:type="band1Horz"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  <w:insideV w:color="4bacc6" w:space="0" w:sz="8" w:themeColor="accent5" w:val="single"/>
        </w:tcBorders>
        <w:shd w:color="auto" w:fill="d2eaf1" w:themeFill="accent5" w:themeFillTint="00003F" w:val="clear"/>
      </w:tcPr>
    </w:tblStylePr>
    <w:tblStylePr w:type="band2Horz"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  <w:insideV w:color="4bacc6" w:space="0" w:sz="8" w:themeColor="accent5" w:val="single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color="f79646" w:space="0" w:sz="8" w:themeColor="accent6" w:val="single"/>
        <w:left w:color="f79646" w:space="0" w:sz="8" w:themeColor="accent6" w:val="single"/>
        <w:bottom w:color="f79646" w:space="0" w:sz="8" w:themeColor="accent6" w:val="single"/>
        <w:right w:color="f79646" w:space="0" w:sz="8" w:themeColor="accent6" w:val="single"/>
        <w:insideH w:color="f79646" w:space="0" w:sz="8" w:themeColor="accent6" w:val="single"/>
        <w:insideV w:color="f79646" w:space="0" w:sz="8" w:themeColor="accent6" w:val="single"/>
      </w:tblBorders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18" w:themeColor="accent6" w:val="single"/>
          <w:right w:color="f79646" w:space="0" w:sz="8" w:themeColor="accent6" w:val="single"/>
          <w:insideH w:space="0" w:sz="0" w:val="nil"/>
          <w:insideV w:color="f79646" w:space="0" w:sz="8" w:themeColor="accent6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f79646" w:space="0" w:sz="6" w:themeColor="accent6" w:val="doub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  <w:insideH w:space="0" w:sz="0" w:val="nil"/>
          <w:insideV w:color="f79646" w:space="0" w:sz="8" w:themeColor="accent6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</w:tcBorders>
      </w:tcPr>
    </w:tblStylePr>
    <w:tblStylePr w:type="band1Vert"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</w:tcBorders>
        <w:shd w:color="auto" w:fill="fde4d0" w:themeFill="accent6" w:themeFillTint="00003F" w:val="clear"/>
      </w:tcPr>
    </w:tblStylePr>
    <w:tblStylePr w:type="band1Horz"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  <w:insideV w:color="f79646" w:space="0" w:sz="8" w:themeColor="accent6" w:val="single"/>
        </w:tcBorders>
        <w:shd w:color="auto" w:fill="fde4d0" w:themeFill="accent6" w:themeFillTint="00003F" w:val="clear"/>
      </w:tcPr>
    </w:tblStylePr>
    <w:tblStylePr w:type="band2Horz"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  <w:insideV w:color="f79646" w:space="0" w:sz="8" w:themeColor="accent6" w:val="single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color="404040" w:space="0" w:sz="8" w:themeColor="text1" w:themeTint="0000BF" w:val="single"/>
        <w:left w:color="404040" w:space="0" w:sz="8" w:themeColor="text1" w:themeTint="0000BF" w:val="single"/>
        <w:bottom w:color="404040" w:space="0" w:sz="8" w:themeColor="text1" w:themeTint="0000BF" w:val="single"/>
        <w:right w:color="404040" w:space="0" w:sz="8" w:themeColor="text1" w:themeTint="0000BF" w:val="single"/>
        <w:insideH w:color="404040" w:space="0" w:sz="8" w:themeColor="text1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404040" w:space="0" w:sz="8" w:themeColor="text1" w:themeTint="0000BF" w:val="single"/>
          <w:left w:color="404040" w:space="0" w:sz="8" w:themeColor="text1" w:themeTint="0000BF" w:val="single"/>
          <w:bottom w:color="404040" w:space="0" w:sz="8" w:themeColor="text1" w:themeTint="0000BF" w:val="single"/>
          <w:right w:color="404040" w:space="0" w:sz="8" w:themeColor="text1" w:themeTint="0000BF" w:val="single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404040" w:space="0" w:sz="6" w:themeColor="text1" w:themeTint="0000BF" w:val="double"/>
          <w:left w:color="404040" w:space="0" w:sz="8" w:themeColor="text1" w:themeTint="0000BF" w:val="single"/>
          <w:bottom w:color="404040" w:space="0" w:sz="8" w:themeColor="text1" w:themeTint="0000BF" w:val="single"/>
          <w:right w:color="404040" w:space="0" w:sz="8" w:themeColor="text1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c0c0c0" w:themeFill="text1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color="7ba0cd" w:space="0" w:sz="8" w:themeColor="accent1" w:themeTint="0000BF" w:val="single"/>
        <w:left w:color="7ba0cd" w:space="0" w:sz="8" w:themeColor="accent1" w:themeTint="0000BF" w:val="single"/>
        <w:bottom w:color="7ba0cd" w:space="0" w:sz="8" w:themeColor="accent1" w:themeTint="0000BF" w:val="single"/>
        <w:right w:color="7ba0cd" w:space="0" w:sz="8" w:themeColor="accent1" w:themeTint="0000BF" w:val="single"/>
        <w:insideH w:color="7ba0cd" w:space="0" w:sz="8" w:themeColor="accent1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7ba0cd" w:space="0" w:sz="8" w:themeColor="accent1" w:themeTint="0000BF" w:val="single"/>
          <w:left w:color="7ba0cd" w:space="0" w:sz="8" w:themeColor="accent1" w:themeTint="0000BF" w:val="single"/>
          <w:bottom w:color="7ba0cd" w:space="0" w:sz="8" w:themeColor="accent1" w:themeTint="0000BF" w:val="single"/>
          <w:right w:color="7ba0cd" w:space="0" w:sz="8" w:themeColor="accent1" w:themeTint="0000BF" w:val="single"/>
          <w:insideH w:space="0" w:sz="0" w:val="nil"/>
          <w:insideV w:space="0" w:sz="0" w:val="nil"/>
        </w:tcBorders>
        <w:shd w:color="auto" w:fill="4f81bd" w:themeFill="accent1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7ba0cd" w:space="0" w:sz="6" w:themeColor="accent1" w:themeTint="0000BF" w:val="double"/>
          <w:left w:color="7ba0cd" w:space="0" w:sz="8" w:themeColor="accent1" w:themeTint="0000BF" w:val="single"/>
          <w:bottom w:color="7ba0cd" w:space="0" w:sz="8" w:themeColor="accent1" w:themeTint="0000BF" w:val="single"/>
          <w:right w:color="7ba0cd" w:space="0" w:sz="8" w:themeColor="accent1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3dfee" w:themeFill="accent1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d3dfee" w:themeFill="accent1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color="cf7b79" w:space="0" w:sz="8" w:themeColor="accent2" w:themeTint="0000BF" w:val="single"/>
        <w:left w:color="cf7b79" w:space="0" w:sz="8" w:themeColor="accent2" w:themeTint="0000BF" w:val="single"/>
        <w:bottom w:color="cf7b79" w:space="0" w:sz="8" w:themeColor="accent2" w:themeTint="0000BF" w:val="single"/>
        <w:right w:color="cf7b79" w:space="0" w:sz="8" w:themeColor="accent2" w:themeTint="0000BF" w:val="single"/>
        <w:insideH w:color="cf7b79" w:space="0" w:sz="8" w:themeColor="accent2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cf7b79" w:space="0" w:sz="8" w:themeColor="accent2" w:themeTint="0000BF" w:val="single"/>
          <w:left w:color="cf7b79" w:space="0" w:sz="8" w:themeColor="accent2" w:themeTint="0000BF" w:val="single"/>
          <w:bottom w:color="cf7b79" w:space="0" w:sz="8" w:themeColor="accent2" w:themeTint="0000BF" w:val="single"/>
          <w:right w:color="cf7b79" w:space="0" w:sz="8" w:themeColor="accent2" w:themeTint="0000BF" w:val="single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cf7b79" w:space="0" w:sz="6" w:themeColor="accent2" w:themeTint="0000BF" w:val="double"/>
          <w:left w:color="cf7b79" w:space="0" w:sz="8" w:themeColor="accent2" w:themeTint="0000BF" w:val="single"/>
          <w:bottom w:color="cf7b79" w:space="0" w:sz="8" w:themeColor="accent2" w:themeTint="0000BF" w:val="single"/>
          <w:right w:color="cf7b79" w:space="0" w:sz="8" w:themeColor="accent2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efd3d2" w:themeFill="accent2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color="b3cc82" w:space="0" w:sz="8" w:themeColor="accent3" w:themeTint="0000BF" w:val="single"/>
        <w:left w:color="b3cc82" w:space="0" w:sz="8" w:themeColor="accent3" w:themeTint="0000BF" w:val="single"/>
        <w:bottom w:color="b3cc82" w:space="0" w:sz="8" w:themeColor="accent3" w:themeTint="0000BF" w:val="single"/>
        <w:right w:color="b3cc82" w:space="0" w:sz="8" w:themeColor="accent3" w:themeTint="0000BF" w:val="single"/>
        <w:insideH w:color="b3cc82" w:space="0" w:sz="8" w:themeColor="accent3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b3cc82" w:space="0" w:sz="8" w:themeColor="accent3" w:themeTint="0000BF" w:val="single"/>
          <w:left w:color="b3cc82" w:space="0" w:sz="8" w:themeColor="accent3" w:themeTint="0000BF" w:val="single"/>
          <w:bottom w:color="b3cc82" w:space="0" w:sz="8" w:themeColor="accent3" w:themeTint="0000BF" w:val="single"/>
          <w:right w:color="b3cc82" w:space="0" w:sz="8" w:themeColor="accent3" w:themeTint="0000BF" w:val="single"/>
          <w:insideH w:space="0" w:sz="0" w:val="nil"/>
          <w:insideV w:space="0" w:sz="0" w:val="nil"/>
        </w:tcBorders>
        <w:shd w:color="auto" w:fill="9bbb59" w:themeFill="accent3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b3cc82" w:space="0" w:sz="6" w:themeColor="accent3" w:themeTint="0000BF" w:val="double"/>
          <w:left w:color="b3cc82" w:space="0" w:sz="8" w:themeColor="accent3" w:themeTint="0000BF" w:val="single"/>
          <w:bottom w:color="b3cc82" w:space="0" w:sz="8" w:themeColor="accent3" w:themeTint="0000BF" w:val="single"/>
          <w:right w:color="b3cc82" w:space="0" w:sz="8" w:themeColor="accent3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e6eed5" w:themeFill="accent3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e6eed5" w:themeFill="accent3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color="9f8ab9" w:space="0" w:sz="8" w:themeColor="accent4" w:themeTint="0000BF" w:val="single"/>
        <w:left w:color="9f8ab9" w:space="0" w:sz="8" w:themeColor="accent4" w:themeTint="0000BF" w:val="single"/>
        <w:bottom w:color="9f8ab9" w:space="0" w:sz="8" w:themeColor="accent4" w:themeTint="0000BF" w:val="single"/>
        <w:right w:color="9f8ab9" w:space="0" w:sz="8" w:themeColor="accent4" w:themeTint="0000BF" w:val="single"/>
        <w:insideH w:color="9f8ab9" w:space="0" w:sz="8" w:themeColor="accent4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9f8ab9" w:space="0" w:sz="8" w:themeColor="accent4" w:themeTint="0000BF" w:val="single"/>
          <w:left w:color="9f8ab9" w:space="0" w:sz="8" w:themeColor="accent4" w:themeTint="0000BF" w:val="single"/>
          <w:bottom w:color="9f8ab9" w:space="0" w:sz="8" w:themeColor="accent4" w:themeTint="0000BF" w:val="single"/>
          <w:right w:color="9f8ab9" w:space="0" w:sz="8" w:themeColor="accent4" w:themeTint="0000BF" w:val="single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9f8ab9" w:space="0" w:sz="6" w:themeColor="accent4" w:themeTint="0000BF" w:val="double"/>
          <w:left w:color="9f8ab9" w:space="0" w:sz="8" w:themeColor="accent4" w:themeTint="0000BF" w:val="single"/>
          <w:bottom w:color="9f8ab9" w:space="0" w:sz="8" w:themeColor="accent4" w:themeTint="0000BF" w:val="single"/>
          <w:right w:color="9f8ab9" w:space="0" w:sz="8" w:themeColor="accent4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fd8e8" w:themeFill="accent4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dfd8e8" w:themeFill="accent4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color="78c0d4" w:space="0" w:sz="8" w:themeColor="accent5" w:themeTint="0000BF" w:val="single"/>
        <w:left w:color="78c0d4" w:space="0" w:sz="8" w:themeColor="accent5" w:themeTint="0000BF" w:val="single"/>
        <w:bottom w:color="78c0d4" w:space="0" w:sz="8" w:themeColor="accent5" w:themeTint="0000BF" w:val="single"/>
        <w:right w:color="78c0d4" w:space="0" w:sz="8" w:themeColor="accent5" w:themeTint="0000BF" w:val="single"/>
        <w:insideH w:color="78c0d4" w:space="0" w:sz="8" w:themeColor="accent5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78c0d4" w:space="0" w:sz="8" w:themeColor="accent5" w:themeTint="0000BF" w:val="single"/>
          <w:left w:color="78c0d4" w:space="0" w:sz="8" w:themeColor="accent5" w:themeTint="0000BF" w:val="single"/>
          <w:bottom w:color="78c0d4" w:space="0" w:sz="8" w:themeColor="accent5" w:themeTint="0000BF" w:val="single"/>
          <w:right w:color="78c0d4" w:space="0" w:sz="8" w:themeColor="accent5" w:themeTint="0000BF" w:val="single"/>
          <w:insideH w:space="0" w:sz="0" w:val="nil"/>
          <w:insideV w:space="0" w:sz="0" w:val="nil"/>
        </w:tcBorders>
        <w:shd w:color="auto" w:fill="4bacc6" w:themeFill="accent5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78c0d4" w:space="0" w:sz="6" w:themeColor="accent5" w:themeTint="0000BF" w:val="double"/>
          <w:left w:color="78c0d4" w:space="0" w:sz="8" w:themeColor="accent5" w:themeTint="0000BF" w:val="single"/>
          <w:bottom w:color="78c0d4" w:space="0" w:sz="8" w:themeColor="accent5" w:themeTint="0000BF" w:val="single"/>
          <w:right w:color="78c0d4" w:space="0" w:sz="8" w:themeColor="accent5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2eaf1" w:themeFill="accent5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d2eaf1" w:themeFill="accent5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color="f9b074" w:space="0" w:sz="8" w:themeColor="accent6" w:themeTint="0000BF" w:val="single"/>
        <w:left w:color="f9b074" w:space="0" w:sz="8" w:themeColor="accent6" w:themeTint="0000BF" w:val="single"/>
        <w:bottom w:color="f9b074" w:space="0" w:sz="8" w:themeColor="accent6" w:themeTint="0000BF" w:val="single"/>
        <w:right w:color="f9b074" w:space="0" w:sz="8" w:themeColor="accent6" w:themeTint="0000BF" w:val="single"/>
        <w:insideH w:color="f9b074" w:space="0" w:sz="8" w:themeColor="accent6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f9b074" w:space="0" w:sz="8" w:themeColor="accent6" w:themeTint="0000BF" w:val="single"/>
          <w:left w:color="f9b074" w:space="0" w:sz="8" w:themeColor="accent6" w:themeTint="0000BF" w:val="single"/>
          <w:bottom w:color="f9b074" w:space="0" w:sz="8" w:themeColor="accent6" w:themeTint="0000BF" w:val="single"/>
          <w:right w:color="f9b074" w:space="0" w:sz="8" w:themeColor="accent6" w:themeTint="0000BF" w:val="single"/>
          <w:insideH w:space="0" w:sz="0" w:val="nil"/>
          <w:insideV w:space="0" w:sz="0" w:val="nil"/>
        </w:tcBorders>
        <w:shd w:color="auto" w:fill="f79646" w:themeFill="accent6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f9b074" w:space="0" w:sz="6" w:themeColor="accent6" w:themeTint="0000BF" w:val="double"/>
          <w:left w:color="f9b074" w:space="0" w:sz="8" w:themeColor="accent6" w:themeTint="0000BF" w:val="single"/>
          <w:bottom w:color="f9b074" w:space="0" w:sz="8" w:themeColor="accent6" w:themeTint="0000BF" w:val="single"/>
          <w:right w:color="f9b074" w:space="0" w:sz="8" w:themeColor="accent6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de4d0" w:themeFill="accent6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fde4d0" w:themeFill="accent6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color="auto" w:space="0" w:sz="18" w:val="single"/>
        <w:bottom w:color="auto" w:space="0" w:sz="18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color="auto" w:space="0" w:sz="18" w:val="single"/>
        <w:bottom w:color="auto" w:space="0" w:sz="18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4f81bd" w:themeFill="accent1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4f81bd" w:themeFill="accent1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4f81bd" w:themeFill="accent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color="auto" w:space="0" w:sz="18" w:val="single"/>
        <w:bottom w:color="auto" w:space="0" w:sz="18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color="auto" w:space="0" w:sz="18" w:val="single"/>
        <w:bottom w:color="auto" w:space="0" w:sz="18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9bbb59" w:themeFill="accent3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9bbb59" w:themeFill="accent3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9bbb59" w:themeFill="accent3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color="auto" w:space="0" w:sz="18" w:val="single"/>
        <w:bottom w:color="auto" w:space="0" w:sz="18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color="auto" w:space="0" w:sz="18" w:val="single"/>
        <w:bottom w:color="auto" w:space="0" w:sz="18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4bacc6" w:themeFill="accent5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4bacc6" w:themeFill="accent5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4bacc6" w:themeFill="accent5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color="auto" w:space="0" w:sz="18" w:val="single"/>
        <w:bottom w:color="auto" w:space="0" w:sz="18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79646" w:themeFill="accent6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79646" w:themeFill="accent6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79646" w:themeFill="accent6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000000" w:space="0" w:sz="8" w:themeColor="text1" w:val="single"/>
        <w:bottom w:color="000000" w:space="0" w:sz="8" w:themeColor="text1" w:val="single"/>
      </w:tblBorders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000000" w:space="0" w:sz="8" w:themeColor="text1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000000" w:space="0" w:sz="8" w:themeColor="text1" w:val="single"/>
          <w:bottom w:color="000000" w:space="0" w:sz="8" w:themeColor="text1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000000" w:space="0" w:sz="8" w:themeColor="text1" w:val="single"/>
          <w:bottom w:color="000000" w:space="0" w:sz="8" w:themeColor="text1" w:val="single"/>
        </w:tcBorders>
      </w:tcPr>
    </w:tblStylePr>
    <w:tblStylePr w:type="band1Vert">
      <w:tblPr/>
      <w:tcPr>
        <w:shd w:color="auto" w:fill="c0c0c0" w:themeFill="text1" w:themeFillTint="00003F" w:val="clear"/>
      </w:tcPr>
    </w:tblStylePr>
    <w:tblStylePr w:type="band1Horz">
      <w:tblPr/>
      <w:tcPr>
        <w:shd w:color="auto" w:fill="c0c0c0" w:themeFill="text1" w:themeFillTint="00003F" w:val="clear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4f81bd" w:space="0" w:sz="8" w:themeColor="accent1" w:val="single"/>
        <w:bottom w:color="4f81bd" w:space="0" w:sz="8" w:themeColor="accent1" w:val="single"/>
      </w:tblBorders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4f81bd" w:space="0" w:sz="8" w:themeColor="accent1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4f81bd" w:space="0" w:sz="8" w:themeColor="accent1" w:val="single"/>
          <w:bottom w:color="4f81bd" w:space="0" w:sz="8" w:themeColor="accent1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4f81bd" w:space="0" w:sz="8" w:themeColor="accent1" w:val="single"/>
          <w:bottom w:color="4f81bd" w:space="0" w:sz="8" w:themeColor="accent1" w:val="single"/>
        </w:tcBorders>
      </w:tcPr>
    </w:tblStylePr>
    <w:tblStylePr w:type="band1Vert">
      <w:tblPr/>
      <w:tcPr>
        <w:shd w:color="auto" w:fill="d3dfee" w:themeFill="accent1" w:themeFillTint="00003F" w:val="clear"/>
      </w:tcPr>
    </w:tblStylePr>
    <w:tblStylePr w:type="band1Horz">
      <w:tblPr/>
      <w:tcPr>
        <w:shd w:color="auto" w:fill="d3dfee" w:themeFill="accent1" w:themeFillTint="00003F" w:val="clear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c0504d" w:space="0" w:sz="8" w:themeColor="accent2" w:val="single"/>
        <w:bottom w:color="c0504d" w:space="0" w:sz="8" w:themeColor="accent2" w:val="single"/>
      </w:tblBorders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c0504d" w:space="0" w:sz="8" w:themeColor="accent2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c0504d" w:space="0" w:sz="8" w:themeColor="accent2" w:val="single"/>
          <w:bottom w:color="c0504d" w:space="0" w:sz="8" w:themeColor="accent2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c0504d" w:space="0" w:sz="8" w:themeColor="accent2" w:val="single"/>
          <w:bottom w:color="c0504d" w:space="0" w:sz="8" w:themeColor="accent2" w:val="single"/>
        </w:tcBorders>
      </w:tcPr>
    </w:tblStylePr>
    <w:tblStylePr w:type="band1Vert">
      <w:tblPr/>
      <w:tcPr>
        <w:shd w:color="auto" w:fill="efd3d2" w:themeFill="accent2" w:themeFillTint="00003F" w:val="clear"/>
      </w:tcPr>
    </w:tblStylePr>
    <w:tblStylePr w:type="band1Horz">
      <w:tblPr/>
      <w:tcPr>
        <w:shd w:color="auto" w:fill="efd3d2" w:themeFill="accent2" w:themeFillTint="00003F" w:val="clear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9bbb59" w:space="0" w:sz="8" w:themeColor="accent3" w:val="single"/>
        <w:bottom w:color="9bbb59" w:space="0" w:sz="8" w:themeColor="accent3" w:val="single"/>
      </w:tblBorders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9bbb59" w:space="0" w:sz="8" w:themeColor="accent3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9bbb59" w:space="0" w:sz="8" w:themeColor="accent3" w:val="single"/>
          <w:bottom w:color="9bbb59" w:space="0" w:sz="8" w:themeColor="accent3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9bbb59" w:space="0" w:sz="8" w:themeColor="accent3" w:val="single"/>
          <w:bottom w:color="9bbb59" w:space="0" w:sz="8" w:themeColor="accent3" w:val="single"/>
        </w:tcBorders>
      </w:tcPr>
    </w:tblStylePr>
    <w:tblStylePr w:type="band1Vert">
      <w:tblPr/>
      <w:tcPr>
        <w:shd w:color="auto" w:fill="e6eed5" w:themeFill="accent3" w:themeFillTint="00003F" w:val="clear"/>
      </w:tcPr>
    </w:tblStylePr>
    <w:tblStylePr w:type="band1Horz">
      <w:tblPr/>
      <w:tcPr>
        <w:shd w:color="auto" w:fill="e6eed5" w:themeFill="accent3" w:themeFillTint="00003F" w:val="clear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8064a2" w:space="0" w:sz="8" w:themeColor="accent4" w:val="single"/>
        <w:bottom w:color="8064a2" w:space="0" w:sz="8" w:themeColor="accent4" w:val="single"/>
      </w:tblBorders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8064a2" w:space="0" w:sz="8" w:themeColor="accent4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8064a2" w:space="0" w:sz="8" w:themeColor="accent4" w:val="single"/>
          <w:bottom w:color="8064a2" w:space="0" w:sz="8" w:themeColor="accent4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8064a2" w:space="0" w:sz="8" w:themeColor="accent4" w:val="single"/>
          <w:bottom w:color="8064a2" w:space="0" w:sz="8" w:themeColor="accent4" w:val="single"/>
        </w:tcBorders>
      </w:tcPr>
    </w:tblStylePr>
    <w:tblStylePr w:type="band1Vert">
      <w:tblPr/>
      <w:tcPr>
        <w:shd w:color="auto" w:fill="dfd8e8" w:themeFill="accent4" w:themeFillTint="00003F" w:val="clear"/>
      </w:tcPr>
    </w:tblStylePr>
    <w:tblStylePr w:type="band1Horz">
      <w:tblPr/>
      <w:tcPr>
        <w:shd w:color="auto" w:fill="dfd8e8" w:themeFill="accent4" w:themeFillTint="00003F" w:val="clear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4bacc6" w:space="0" w:sz="8" w:themeColor="accent5" w:val="single"/>
        <w:bottom w:color="4bacc6" w:space="0" w:sz="8" w:themeColor="accent5" w:val="single"/>
      </w:tblBorders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4bacc6" w:space="0" w:sz="8" w:themeColor="accent5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4bacc6" w:space="0" w:sz="8" w:themeColor="accent5" w:val="single"/>
          <w:bottom w:color="4bacc6" w:space="0" w:sz="8" w:themeColor="accent5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4bacc6" w:space="0" w:sz="8" w:themeColor="accent5" w:val="single"/>
          <w:bottom w:color="4bacc6" w:space="0" w:sz="8" w:themeColor="accent5" w:val="single"/>
        </w:tcBorders>
      </w:tcPr>
    </w:tblStylePr>
    <w:tblStylePr w:type="band1Vert">
      <w:tblPr/>
      <w:tcPr>
        <w:shd w:color="auto" w:fill="d2eaf1" w:themeFill="accent5" w:themeFillTint="00003F" w:val="clear"/>
      </w:tcPr>
    </w:tblStylePr>
    <w:tblStylePr w:type="band1Horz">
      <w:tblPr/>
      <w:tcPr>
        <w:shd w:color="auto" w:fill="d2eaf1" w:themeFill="accent5" w:themeFillTint="00003F" w:val="clear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f79646" w:space="0" w:sz="8" w:themeColor="accent6" w:val="single"/>
        <w:bottom w:color="f79646" w:space="0" w:sz="8" w:themeColor="accent6" w:val="single"/>
      </w:tblBorders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f79646" w:space="0" w:sz="8" w:themeColor="accent6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f79646" w:space="0" w:sz="8" w:themeColor="accent6" w:val="single"/>
          <w:bottom w:color="f79646" w:space="0" w:sz="8" w:themeColor="accent6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f79646" w:space="0" w:sz="8" w:themeColor="accent6" w:val="single"/>
          <w:bottom w:color="f79646" w:space="0" w:sz="8" w:themeColor="accent6" w:val="single"/>
        </w:tcBorders>
      </w:tcPr>
    </w:tblStylePr>
    <w:tblStylePr w:type="band1Vert">
      <w:tblPr/>
      <w:tcPr>
        <w:shd w:color="auto" w:fill="fde4d0" w:themeFill="accent6" w:themeFillTint="00003F" w:val="clear"/>
      </w:tcPr>
    </w:tblStylePr>
    <w:tblStylePr w:type="band1Horz">
      <w:tblPr/>
      <w:tcPr>
        <w:shd w:color="auto" w:fill="fde4d0" w:themeFill="accent6" w:themeFillTint="00003F" w:val="clear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000000" w:space="0" w:sz="8" w:themeColor="text1" w:val="single"/>
        <w:left w:color="000000" w:space="0" w:sz="8" w:themeColor="text1" w:val="single"/>
        <w:bottom w:color="000000" w:space="0" w:sz="8" w:themeColor="text1" w:val="single"/>
        <w:right w:color="000000" w:space="0" w:sz="8" w:themeColor="text1" w:val="single"/>
      </w:tblBorders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000000" w:space="0" w:sz="24" w:themeColor="text1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000000" w:space="0" w:sz="8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000000" w:space="0" w:sz="8" w:themeColor="text1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000000" w:space="0" w:sz="8" w:themeColor="text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4f81bd" w:space="0" w:sz="8" w:themeColor="accent1" w:val="single"/>
        <w:left w:color="4f81bd" w:space="0" w:sz="8" w:themeColor="accent1" w:val="single"/>
        <w:bottom w:color="4f81bd" w:space="0" w:sz="8" w:themeColor="accent1" w:val="single"/>
        <w:right w:color="4f81bd" w:space="0" w:sz="8" w:themeColor="accent1" w:val="single"/>
      </w:tblBorders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4f81bd" w:space="0" w:sz="24" w:themeColor="accent1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4f81bd" w:space="0" w:sz="8" w:themeColor="accen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4f81bd" w:space="0" w:sz="8" w:themeColor="accent1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4f81bd" w:space="0" w:sz="8" w:themeColor="accent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3dfee" w:themeFill="accent1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d3dfee" w:themeFill="accent1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c0504d" w:space="0" w:sz="8" w:themeColor="accent2" w:val="single"/>
        <w:left w:color="c0504d" w:space="0" w:sz="8" w:themeColor="accent2" w:val="single"/>
        <w:bottom w:color="c0504d" w:space="0" w:sz="8" w:themeColor="accent2" w:val="single"/>
        <w:right w:color="c0504d" w:space="0" w:sz="8" w:themeColor="accent2" w:val="single"/>
      </w:tblBorders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c0504d" w:space="0" w:sz="24" w:themeColor="accent2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c0504d" w:space="0" w:sz="8" w:themeColor="accent2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c0504d" w:space="0" w:sz="8" w:themeColor="accent2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c0504d" w:space="0" w:sz="8" w:themeColor="accent2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9bbb59" w:space="0" w:sz="8" w:themeColor="accent3" w:val="single"/>
        <w:left w:color="9bbb59" w:space="0" w:sz="8" w:themeColor="accent3" w:val="single"/>
        <w:bottom w:color="9bbb59" w:space="0" w:sz="8" w:themeColor="accent3" w:val="single"/>
        <w:right w:color="9bbb59" w:space="0" w:sz="8" w:themeColor="accent3" w:val="single"/>
      </w:tblBorders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9bbb59" w:space="0" w:sz="24" w:themeColor="accent3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9bbb59" w:space="0" w:sz="8" w:themeColor="accent3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9bbb59" w:space="0" w:sz="8" w:themeColor="accent3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9bbb59" w:space="0" w:sz="8" w:themeColor="accent3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6eed5" w:themeFill="accent3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e6eed5" w:themeFill="accent3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8064a2" w:space="0" w:sz="8" w:themeColor="accent4" w:val="single"/>
        <w:left w:color="8064a2" w:space="0" w:sz="8" w:themeColor="accent4" w:val="single"/>
        <w:bottom w:color="8064a2" w:space="0" w:sz="8" w:themeColor="accent4" w:val="single"/>
        <w:right w:color="8064a2" w:space="0" w:sz="8" w:themeColor="accent4" w:val="single"/>
      </w:tblBorders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8064a2" w:space="0" w:sz="24" w:themeColor="accent4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8064a2" w:space="0" w:sz="8" w:themeColor="accent4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8064a2" w:space="0" w:sz="8" w:themeColor="accent4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8064a2" w:space="0" w:sz="8" w:themeColor="accent4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fd8e8" w:themeFill="accent4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dfd8e8" w:themeFill="accent4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4bacc6" w:space="0" w:sz="8" w:themeColor="accent5" w:val="single"/>
        <w:left w:color="4bacc6" w:space="0" w:sz="8" w:themeColor="accent5" w:val="single"/>
        <w:bottom w:color="4bacc6" w:space="0" w:sz="8" w:themeColor="accent5" w:val="single"/>
        <w:right w:color="4bacc6" w:space="0" w:sz="8" w:themeColor="accent5" w:val="single"/>
      </w:tblBorders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4bacc6" w:space="0" w:sz="24" w:themeColor="accent5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4bacc6" w:space="0" w:sz="8" w:themeColor="accent5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4bacc6" w:space="0" w:sz="8" w:themeColor="accent5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4bacc6" w:space="0" w:sz="8" w:themeColor="accent5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2eaf1" w:themeFill="accent5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d2eaf1" w:themeFill="accent5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f79646" w:space="0" w:sz="8" w:themeColor="accent6" w:val="single"/>
        <w:left w:color="f79646" w:space="0" w:sz="8" w:themeColor="accent6" w:val="single"/>
        <w:bottom w:color="f79646" w:space="0" w:sz="8" w:themeColor="accent6" w:val="single"/>
        <w:right w:color="f79646" w:space="0" w:sz="8" w:themeColor="accent6" w:val="single"/>
      </w:tblBorders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f79646" w:space="0" w:sz="24" w:themeColor="accent6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f79646" w:space="0" w:sz="8" w:themeColor="accent6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79646" w:space="0" w:sz="8" w:themeColor="accent6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f79646" w:space="0" w:sz="8" w:themeColor="accent6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de4d0" w:themeFill="accent6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fde4d0" w:themeFill="accent6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color="404040" w:space="0" w:sz="8" w:themeColor="text1" w:themeTint="0000BF" w:val="single"/>
        <w:left w:color="404040" w:space="0" w:sz="8" w:themeColor="text1" w:themeTint="0000BF" w:val="single"/>
        <w:bottom w:color="404040" w:space="0" w:sz="8" w:themeColor="text1" w:themeTint="0000BF" w:val="single"/>
        <w:right w:color="404040" w:space="0" w:sz="8" w:themeColor="text1" w:themeTint="0000BF" w:val="single"/>
        <w:insideH w:color="404040" w:space="0" w:sz="8" w:themeColor="text1" w:themeTint="0000BF" w:val="single"/>
        <w:insideV w:color="404040" w:space="0" w:sz="8" w:themeColor="text1" w:themeTint="0000BF" w:val="single"/>
      </w:tblBorders>
    </w:tblPr>
    <w:tcPr>
      <w:shd w:color="auto" w:fill="c0c0c0" w:themeFill="text1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404040" w:space="0" w:sz="18" w:themeColor="text1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808080" w:themeFill="text1" w:themeFillTint="00007F" w:val="clear"/>
      </w:tcPr>
    </w:tblStylePr>
    <w:tblStylePr w:type="band1Horz">
      <w:tblPr/>
      <w:tcPr>
        <w:shd w:color="auto" w:fill="808080" w:themeFill="text1" w:themeFillTint="00007F" w:val="clear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color="7ba0cd" w:space="0" w:sz="8" w:themeColor="accent1" w:themeTint="0000BF" w:val="single"/>
        <w:left w:color="7ba0cd" w:space="0" w:sz="8" w:themeColor="accent1" w:themeTint="0000BF" w:val="single"/>
        <w:bottom w:color="7ba0cd" w:space="0" w:sz="8" w:themeColor="accent1" w:themeTint="0000BF" w:val="single"/>
        <w:right w:color="7ba0cd" w:space="0" w:sz="8" w:themeColor="accent1" w:themeTint="0000BF" w:val="single"/>
        <w:insideH w:color="7ba0cd" w:space="0" w:sz="8" w:themeColor="accent1" w:themeTint="0000BF" w:val="single"/>
        <w:insideV w:color="7ba0cd" w:space="0" w:sz="8" w:themeColor="accent1" w:themeTint="0000BF" w:val="single"/>
      </w:tblBorders>
    </w:tblPr>
    <w:tcPr>
      <w:shd w:color="auto" w:fill="d3dfee" w:themeFill="accent1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7ba0cd" w:space="0" w:sz="18" w:themeColor="accent1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a7bfde" w:themeFill="accent1" w:themeFillTint="00007F" w:val="clear"/>
      </w:tcPr>
    </w:tblStylePr>
    <w:tblStylePr w:type="band1Horz">
      <w:tblPr/>
      <w:tcPr>
        <w:shd w:color="auto" w:fill="a7bfde" w:themeFill="accent1" w:themeFillTint="00007F" w:val="clear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color="cf7b79" w:space="0" w:sz="8" w:themeColor="accent2" w:themeTint="0000BF" w:val="single"/>
        <w:left w:color="cf7b79" w:space="0" w:sz="8" w:themeColor="accent2" w:themeTint="0000BF" w:val="single"/>
        <w:bottom w:color="cf7b79" w:space="0" w:sz="8" w:themeColor="accent2" w:themeTint="0000BF" w:val="single"/>
        <w:right w:color="cf7b79" w:space="0" w:sz="8" w:themeColor="accent2" w:themeTint="0000BF" w:val="single"/>
        <w:insideH w:color="cf7b79" w:space="0" w:sz="8" w:themeColor="accent2" w:themeTint="0000BF" w:val="single"/>
        <w:insideV w:color="cf7b79" w:space="0" w:sz="8" w:themeColor="accent2" w:themeTint="0000BF" w:val="single"/>
      </w:tblBorders>
    </w:tblPr>
    <w:tcPr>
      <w:shd w:color="auto" w:fill="efd3d2" w:themeFill="accent2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cf7b79" w:space="0" w:sz="18" w:themeColor="accent2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fa7a6" w:themeFill="accent2" w:themeFillTint="00007F" w:val="clear"/>
      </w:tcPr>
    </w:tblStylePr>
    <w:tblStylePr w:type="band1Horz">
      <w:tblPr/>
      <w:tcPr>
        <w:shd w:color="auto" w:fill="dfa7a6" w:themeFill="accent2" w:themeFillTint="00007F" w:val="clear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color="b3cc82" w:space="0" w:sz="8" w:themeColor="accent3" w:themeTint="0000BF" w:val="single"/>
        <w:left w:color="b3cc82" w:space="0" w:sz="8" w:themeColor="accent3" w:themeTint="0000BF" w:val="single"/>
        <w:bottom w:color="b3cc82" w:space="0" w:sz="8" w:themeColor="accent3" w:themeTint="0000BF" w:val="single"/>
        <w:right w:color="b3cc82" w:space="0" w:sz="8" w:themeColor="accent3" w:themeTint="0000BF" w:val="single"/>
        <w:insideH w:color="b3cc82" w:space="0" w:sz="8" w:themeColor="accent3" w:themeTint="0000BF" w:val="single"/>
        <w:insideV w:color="b3cc82" w:space="0" w:sz="8" w:themeColor="accent3" w:themeTint="0000BF" w:val="single"/>
      </w:tblBorders>
    </w:tblPr>
    <w:tcPr>
      <w:shd w:color="auto" w:fill="e6eed5" w:themeFill="accent3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b3cc82" w:space="0" w:sz="18" w:themeColor="accent3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cdddac" w:themeFill="accent3" w:themeFillTint="00007F" w:val="clear"/>
      </w:tcPr>
    </w:tblStylePr>
    <w:tblStylePr w:type="band1Horz">
      <w:tblPr/>
      <w:tcPr>
        <w:shd w:color="auto" w:fill="cdddac" w:themeFill="accent3" w:themeFillTint="00007F" w:val="clear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color="9f8ab9" w:space="0" w:sz="8" w:themeColor="accent4" w:themeTint="0000BF" w:val="single"/>
        <w:left w:color="9f8ab9" w:space="0" w:sz="8" w:themeColor="accent4" w:themeTint="0000BF" w:val="single"/>
        <w:bottom w:color="9f8ab9" w:space="0" w:sz="8" w:themeColor="accent4" w:themeTint="0000BF" w:val="single"/>
        <w:right w:color="9f8ab9" w:space="0" w:sz="8" w:themeColor="accent4" w:themeTint="0000BF" w:val="single"/>
        <w:insideH w:color="9f8ab9" w:space="0" w:sz="8" w:themeColor="accent4" w:themeTint="0000BF" w:val="single"/>
        <w:insideV w:color="9f8ab9" w:space="0" w:sz="8" w:themeColor="accent4" w:themeTint="0000BF" w:val="single"/>
      </w:tblBorders>
    </w:tblPr>
    <w:tcPr>
      <w:shd w:color="auto" w:fill="dfd8e8" w:themeFill="accent4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9f8ab9" w:space="0" w:sz="18" w:themeColor="accent4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bfb1d0" w:themeFill="accent4" w:themeFillTint="00007F" w:val="clear"/>
      </w:tcPr>
    </w:tblStylePr>
    <w:tblStylePr w:type="band1Horz">
      <w:tblPr/>
      <w:tcPr>
        <w:shd w:color="auto" w:fill="bfb1d0" w:themeFill="accent4" w:themeFillTint="00007F" w:val="clear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color="78c0d4" w:space="0" w:sz="8" w:themeColor="accent5" w:themeTint="0000BF" w:val="single"/>
        <w:left w:color="78c0d4" w:space="0" w:sz="8" w:themeColor="accent5" w:themeTint="0000BF" w:val="single"/>
        <w:bottom w:color="78c0d4" w:space="0" w:sz="8" w:themeColor="accent5" w:themeTint="0000BF" w:val="single"/>
        <w:right w:color="78c0d4" w:space="0" w:sz="8" w:themeColor="accent5" w:themeTint="0000BF" w:val="single"/>
        <w:insideH w:color="78c0d4" w:space="0" w:sz="8" w:themeColor="accent5" w:themeTint="0000BF" w:val="single"/>
        <w:insideV w:color="78c0d4" w:space="0" w:sz="8" w:themeColor="accent5" w:themeTint="0000BF" w:val="single"/>
      </w:tblBorders>
    </w:tblPr>
    <w:tcPr>
      <w:shd w:color="auto" w:fill="d2eaf1" w:themeFill="accent5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78c0d4" w:space="0" w:sz="18" w:themeColor="accent5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a5d5e2" w:themeFill="accent5" w:themeFillTint="00007F" w:val="clear"/>
      </w:tcPr>
    </w:tblStylePr>
    <w:tblStylePr w:type="band1Horz">
      <w:tblPr/>
      <w:tcPr>
        <w:shd w:color="auto" w:fill="a5d5e2" w:themeFill="accent5" w:themeFillTint="00007F" w:val="clear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color="f9b074" w:space="0" w:sz="8" w:themeColor="accent6" w:themeTint="0000BF" w:val="single"/>
        <w:left w:color="f9b074" w:space="0" w:sz="8" w:themeColor="accent6" w:themeTint="0000BF" w:val="single"/>
        <w:bottom w:color="f9b074" w:space="0" w:sz="8" w:themeColor="accent6" w:themeTint="0000BF" w:val="single"/>
        <w:right w:color="f9b074" w:space="0" w:sz="8" w:themeColor="accent6" w:themeTint="0000BF" w:val="single"/>
        <w:insideH w:color="f9b074" w:space="0" w:sz="8" w:themeColor="accent6" w:themeTint="0000BF" w:val="single"/>
        <w:insideV w:color="f9b074" w:space="0" w:sz="8" w:themeColor="accent6" w:themeTint="0000BF" w:val="single"/>
      </w:tblBorders>
    </w:tblPr>
    <w:tcPr>
      <w:shd w:color="auto" w:fill="fde4d0" w:themeFill="accent6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f9b074" w:space="0" w:sz="18" w:themeColor="accent6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bcaa2" w:themeFill="accent6" w:themeFillTint="00007F" w:val="clear"/>
      </w:tcPr>
    </w:tblStylePr>
    <w:tblStylePr w:type="band1Horz">
      <w:tblPr/>
      <w:tcPr>
        <w:shd w:color="auto" w:fill="fbcaa2" w:themeFill="accent6" w:themeFillTint="00007F" w:val="clear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000000" w:space="0" w:sz="8" w:themeColor="text1" w:val="single"/>
        <w:left w:color="000000" w:space="0" w:sz="8" w:themeColor="text1" w:val="single"/>
        <w:bottom w:color="000000" w:space="0" w:sz="8" w:themeColor="text1" w:val="single"/>
        <w:right w:color="000000" w:space="0" w:sz="8" w:themeColor="text1" w:val="single"/>
        <w:insideH w:color="000000" w:space="0" w:sz="8" w:themeColor="text1" w:val="single"/>
        <w:insideV w:color="000000" w:space="0" w:sz="8" w:themeColor="text1" w:val="single"/>
      </w:tblBorders>
    </w:tblPr>
    <w:tcPr>
      <w:shd w:color="auto" w:fill="c0c0c0" w:themeFill="text1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e6e6e6" w:themeFill="text1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cccccc" w:themeFill="text1" w:themeFillTint="000033" w:val="clear"/>
      </w:tcPr>
    </w:tblStylePr>
    <w:tblStylePr w:type="band1Vert">
      <w:tblPr/>
      <w:tcPr>
        <w:shd w:color="auto" w:fill="808080" w:themeFill="text1" w:themeFillTint="00007F" w:val="clear"/>
      </w:tcPr>
    </w:tblStylePr>
    <w:tblStylePr w:type="band1Horz">
      <w:tblPr/>
      <w:tcPr>
        <w:tcBorders>
          <w:insideH w:color="000000" w:space="0" w:sz="6" w:themeColor="text1" w:val="single"/>
          <w:insideV w:color="000000" w:space="0" w:sz="6" w:themeColor="text1" w:val="single"/>
        </w:tcBorders>
        <w:shd w:color="auto" w:fill="808080" w:themeFill="text1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4f81bd" w:space="0" w:sz="8" w:themeColor="accent1" w:val="single"/>
        <w:left w:color="4f81bd" w:space="0" w:sz="8" w:themeColor="accent1" w:val="single"/>
        <w:bottom w:color="4f81bd" w:space="0" w:sz="8" w:themeColor="accent1" w:val="single"/>
        <w:right w:color="4f81bd" w:space="0" w:sz="8" w:themeColor="accent1" w:val="single"/>
        <w:insideH w:color="4f81bd" w:space="0" w:sz="8" w:themeColor="accent1" w:val="single"/>
        <w:insideV w:color="4f81bd" w:space="0" w:sz="8" w:themeColor="accent1" w:val="single"/>
      </w:tblBorders>
    </w:tblPr>
    <w:tcPr>
      <w:shd w:color="auto" w:fill="d3dfee" w:themeFill="accent1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edf2f8" w:themeFill="accent1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dbe5f1" w:themeFill="accent1" w:themeFillTint="000033" w:val="clear"/>
      </w:tcPr>
    </w:tblStylePr>
    <w:tblStylePr w:type="band1Vert">
      <w:tblPr/>
      <w:tcPr>
        <w:shd w:color="auto" w:fill="a7bfde" w:themeFill="accent1" w:themeFillTint="00007F" w:val="clear"/>
      </w:tcPr>
    </w:tblStylePr>
    <w:tblStylePr w:type="band1Horz">
      <w:tblPr/>
      <w:tcPr>
        <w:tcBorders>
          <w:insideH w:color="4f81bd" w:space="0" w:sz="6" w:themeColor="accent1" w:val="single"/>
          <w:insideV w:color="4f81bd" w:space="0" w:sz="6" w:themeColor="accent1" w:val="single"/>
        </w:tcBorders>
        <w:shd w:color="auto" w:fill="a7bfde" w:themeFill="accent1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c0504d" w:space="0" w:sz="8" w:themeColor="accent2" w:val="single"/>
        <w:left w:color="c0504d" w:space="0" w:sz="8" w:themeColor="accent2" w:val="single"/>
        <w:bottom w:color="c0504d" w:space="0" w:sz="8" w:themeColor="accent2" w:val="single"/>
        <w:right w:color="c0504d" w:space="0" w:sz="8" w:themeColor="accent2" w:val="single"/>
        <w:insideH w:color="c0504d" w:space="0" w:sz="8" w:themeColor="accent2" w:val="single"/>
        <w:insideV w:color="c0504d" w:space="0" w:sz="8" w:themeColor="accent2" w:val="single"/>
      </w:tblBorders>
    </w:tblPr>
    <w:tcPr>
      <w:shd w:color="auto" w:fill="efd3d2" w:themeFill="accent2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f8eded" w:themeFill="accent2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2dbdb" w:themeFill="accent2" w:themeFillTint="000033" w:val="clear"/>
      </w:tcPr>
    </w:tblStylePr>
    <w:tblStylePr w:type="band1Vert">
      <w:tblPr/>
      <w:tcPr>
        <w:shd w:color="auto" w:fill="dfa7a6" w:themeFill="accent2" w:themeFillTint="00007F" w:val="clear"/>
      </w:tcPr>
    </w:tblStylePr>
    <w:tblStylePr w:type="band1Horz">
      <w:tblPr/>
      <w:tcPr>
        <w:tcBorders>
          <w:insideH w:color="c0504d" w:space="0" w:sz="6" w:themeColor="accent2" w:val="single"/>
          <w:insideV w:color="c0504d" w:space="0" w:sz="6" w:themeColor="accent2" w:val="single"/>
        </w:tcBorders>
        <w:shd w:color="auto" w:fill="dfa7a6" w:themeFill="accent2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9bbb59" w:space="0" w:sz="8" w:themeColor="accent3" w:val="single"/>
        <w:left w:color="9bbb59" w:space="0" w:sz="8" w:themeColor="accent3" w:val="single"/>
        <w:bottom w:color="9bbb59" w:space="0" w:sz="8" w:themeColor="accent3" w:val="single"/>
        <w:right w:color="9bbb59" w:space="0" w:sz="8" w:themeColor="accent3" w:val="single"/>
        <w:insideH w:color="9bbb59" w:space="0" w:sz="8" w:themeColor="accent3" w:val="single"/>
        <w:insideV w:color="9bbb59" w:space="0" w:sz="8" w:themeColor="accent3" w:val="single"/>
      </w:tblBorders>
    </w:tblPr>
    <w:tcPr>
      <w:shd w:color="auto" w:fill="e6eed5" w:themeFill="accent3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f5f8ee" w:themeFill="accent3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af1dd" w:themeFill="accent3" w:themeFillTint="000033" w:val="clear"/>
      </w:tcPr>
    </w:tblStylePr>
    <w:tblStylePr w:type="band1Vert">
      <w:tblPr/>
      <w:tcPr>
        <w:shd w:color="auto" w:fill="cdddac" w:themeFill="accent3" w:themeFillTint="00007F" w:val="clear"/>
      </w:tcPr>
    </w:tblStylePr>
    <w:tblStylePr w:type="band1Horz">
      <w:tblPr/>
      <w:tcPr>
        <w:tcBorders>
          <w:insideH w:color="9bbb59" w:space="0" w:sz="6" w:themeColor="accent3" w:val="single"/>
          <w:insideV w:color="9bbb59" w:space="0" w:sz="6" w:themeColor="accent3" w:val="single"/>
        </w:tcBorders>
        <w:shd w:color="auto" w:fill="cdddac" w:themeFill="accent3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8064a2" w:space="0" w:sz="8" w:themeColor="accent4" w:val="single"/>
        <w:left w:color="8064a2" w:space="0" w:sz="8" w:themeColor="accent4" w:val="single"/>
        <w:bottom w:color="8064a2" w:space="0" w:sz="8" w:themeColor="accent4" w:val="single"/>
        <w:right w:color="8064a2" w:space="0" w:sz="8" w:themeColor="accent4" w:val="single"/>
        <w:insideH w:color="8064a2" w:space="0" w:sz="8" w:themeColor="accent4" w:val="single"/>
        <w:insideV w:color="8064a2" w:space="0" w:sz="8" w:themeColor="accent4" w:val="single"/>
      </w:tblBorders>
    </w:tblPr>
    <w:tcPr>
      <w:shd w:color="auto" w:fill="dfd8e8" w:themeFill="accent4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f2eff6" w:themeFill="accent4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5dfec" w:themeFill="accent4" w:themeFillTint="000033" w:val="clear"/>
      </w:tcPr>
    </w:tblStylePr>
    <w:tblStylePr w:type="band1Vert">
      <w:tblPr/>
      <w:tcPr>
        <w:shd w:color="auto" w:fill="bfb1d0" w:themeFill="accent4" w:themeFillTint="00007F" w:val="clear"/>
      </w:tcPr>
    </w:tblStylePr>
    <w:tblStylePr w:type="band1Horz">
      <w:tblPr/>
      <w:tcPr>
        <w:tcBorders>
          <w:insideH w:color="8064a2" w:space="0" w:sz="6" w:themeColor="accent4" w:val="single"/>
          <w:insideV w:color="8064a2" w:space="0" w:sz="6" w:themeColor="accent4" w:val="single"/>
        </w:tcBorders>
        <w:shd w:color="auto" w:fill="bfb1d0" w:themeFill="accent4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4bacc6" w:space="0" w:sz="8" w:themeColor="accent5" w:val="single"/>
        <w:left w:color="4bacc6" w:space="0" w:sz="8" w:themeColor="accent5" w:val="single"/>
        <w:bottom w:color="4bacc6" w:space="0" w:sz="8" w:themeColor="accent5" w:val="single"/>
        <w:right w:color="4bacc6" w:space="0" w:sz="8" w:themeColor="accent5" w:val="single"/>
        <w:insideH w:color="4bacc6" w:space="0" w:sz="8" w:themeColor="accent5" w:val="single"/>
        <w:insideV w:color="4bacc6" w:space="0" w:sz="8" w:themeColor="accent5" w:val="single"/>
      </w:tblBorders>
    </w:tblPr>
    <w:tcPr>
      <w:shd w:color="auto" w:fill="d2eaf1" w:themeFill="accent5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edf6f9" w:themeFill="accent5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daeef3" w:themeFill="accent5" w:themeFillTint="000033" w:val="clear"/>
      </w:tcPr>
    </w:tblStylePr>
    <w:tblStylePr w:type="band1Vert">
      <w:tblPr/>
      <w:tcPr>
        <w:shd w:color="auto" w:fill="a5d5e2" w:themeFill="accent5" w:themeFillTint="00007F" w:val="clear"/>
      </w:tcPr>
    </w:tblStylePr>
    <w:tblStylePr w:type="band1Horz">
      <w:tblPr/>
      <w:tcPr>
        <w:tcBorders>
          <w:insideH w:color="4bacc6" w:space="0" w:sz="6" w:themeColor="accent5" w:val="single"/>
          <w:insideV w:color="4bacc6" w:space="0" w:sz="6" w:themeColor="accent5" w:val="single"/>
        </w:tcBorders>
        <w:shd w:color="auto" w:fill="a5d5e2" w:themeFill="accent5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f79646" w:space="0" w:sz="8" w:themeColor="accent6" w:val="single"/>
        <w:left w:color="f79646" w:space="0" w:sz="8" w:themeColor="accent6" w:val="single"/>
        <w:bottom w:color="f79646" w:space="0" w:sz="8" w:themeColor="accent6" w:val="single"/>
        <w:right w:color="f79646" w:space="0" w:sz="8" w:themeColor="accent6" w:val="single"/>
        <w:insideH w:color="f79646" w:space="0" w:sz="8" w:themeColor="accent6" w:val="single"/>
        <w:insideV w:color="f79646" w:space="0" w:sz="8" w:themeColor="accent6" w:val="single"/>
      </w:tblBorders>
    </w:tblPr>
    <w:tcPr>
      <w:shd w:color="auto" w:fill="fde4d0" w:themeFill="accent6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fef4ec" w:themeFill="accent6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de9d9" w:themeFill="accent6" w:themeFillTint="000033" w:val="clear"/>
      </w:tcPr>
    </w:tblStylePr>
    <w:tblStylePr w:type="band1Vert">
      <w:tblPr/>
      <w:tcPr>
        <w:shd w:color="auto" w:fill="fbcaa2" w:themeFill="accent6" w:themeFillTint="00007F" w:val="clear"/>
      </w:tcPr>
    </w:tblStylePr>
    <w:tblStylePr w:type="band1Horz">
      <w:tblPr/>
      <w:tcPr>
        <w:tcBorders>
          <w:insideH w:color="f79646" w:space="0" w:sz="6" w:themeColor="accent6" w:val="single"/>
          <w:insideV w:color="f79646" w:space="0" w:sz="6" w:themeColor="accent6" w:val="single"/>
        </w:tcBorders>
        <w:shd w:color="auto" w:fill="fbcaa2" w:themeFill="accent6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</w:tblPr>
    <w:tcPr>
      <w:shd w:color="auto" w:fill="c0c0c0" w:themeFill="text1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000000" w:themeFill="text1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000000" w:themeFill="text1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808080" w:themeFill="text1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808080" w:themeFill="text1" w:themeFillTint="00007F" w:val="clear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</w:tblPr>
    <w:tcPr>
      <w:shd w:color="auto" w:fill="d3dfee" w:themeFill="accent1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4f81bd" w:themeFill="accent1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4f81bd" w:themeFill="accent1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4f81bd" w:themeFill="accent1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4f81bd" w:themeFill="accent1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a7bfde" w:themeFill="accent1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a7bfde" w:themeFill="accent1" w:themeFillTint="00007F" w:val="clear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</w:tblPr>
    <w:tcPr>
      <w:shd w:color="auto" w:fill="efd3d2" w:themeFill="accent2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c0504d" w:themeFill="accent2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c0504d" w:themeFill="accent2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dfa7a6" w:themeFill="accent2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dfa7a6" w:themeFill="accent2" w:themeFillTint="00007F" w:val="clear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</w:tblPr>
    <w:tcPr>
      <w:shd w:color="auto" w:fill="e6eed5" w:themeFill="accent3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9bbb59" w:themeFill="accent3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9bbb59" w:themeFill="accent3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9bbb59" w:themeFill="accent3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9bbb59" w:themeFill="accent3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cdddac" w:themeFill="accent3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cdddac" w:themeFill="accent3" w:themeFillTint="00007F" w:val="clear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</w:tblPr>
    <w:tcPr>
      <w:shd w:color="auto" w:fill="dfd8e8" w:themeFill="accent4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8064a2" w:themeFill="accent4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8064a2" w:themeFill="accent4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bfb1d0" w:themeFill="accent4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bfb1d0" w:themeFill="accent4" w:themeFillTint="00007F" w:val="clear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</w:tblPr>
    <w:tcPr>
      <w:shd w:color="auto" w:fill="d2eaf1" w:themeFill="accent5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4bacc6" w:themeFill="accent5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4bacc6" w:themeFill="accent5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4bacc6" w:themeFill="accent5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4bacc6" w:themeFill="accent5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a5d5e2" w:themeFill="accent5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a5d5e2" w:themeFill="accent5" w:themeFillTint="00007F" w:val="clear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</w:tblPr>
    <w:tcPr>
      <w:shd w:color="auto" w:fill="fde4d0" w:themeFill="accent6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f79646" w:themeFill="accent6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f79646" w:themeFill="accent6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f79646" w:themeFill="accent6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79646" w:themeFill="accent6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fbcaa2" w:themeFill="accent6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fbcaa2" w:themeFill="accent6" w:themeFillTint="00007F" w:val="clear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color="auto" w:fill="000000" w:themeFill="text1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color="auto" w:fill="4f81bd" w:themeFill="accent1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243f60" w:themeFill="accent1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365f91" w:themeFill="accent1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65f91" w:themeFill="accent1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65f91" w:themeFill="accent1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65f91" w:themeFill="accent1" w:themeFillShade="0000BF" w:val="clear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color="auto" w:fill="c0504d" w:themeFill="accent2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622423" w:themeFill="accent2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943634" w:themeFill="accent2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943634" w:themeFill="accent2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943634" w:themeFill="accent2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943634" w:themeFill="accent2" w:themeFillShade="0000BF" w:val="clear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color="auto" w:fill="9bbb59" w:themeFill="accent3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4e6128" w:themeFill="accent3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76923c" w:themeFill="accent3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76923c" w:themeFill="accent3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76923c" w:themeFill="accent3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76923c" w:themeFill="accent3" w:themeFillShade="0000BF" w:val="clear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color="auto" w:fill="8064a2" w:themeFill="accent4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f3151" w:themeFill="accent4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5f497a" w:themeFill="accent4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5f497a" w:themeFill="accent4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5f497a" w:themeFill="accent4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5f497a" w:themeFill="accent4" w:themeFillShade="0000BF" w:val="clear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color="auto" w:fill="4bacc6" w:themeFill="accent5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205867" w:themeFill="accent5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31849b" w:themeFill="accent5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1849b" w:themeFill="accent5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1849b" w:themeFill="accent5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1849b" w:themeFill="accent5" w:themeFillShade="0000BF" w:val="clear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color="auto" w:fill="f79646" w:themeFill="accent6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974706" w:themeFill="accent6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e36c0a" w:themeFill="accent6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36c0a" w:themeFill="accent6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36c0a" w:themeFill="accent6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36c0a" w:themeFill="accent6" w:themeFillShade="0000BF" w:val="clear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c0504d" w:space="0" w:sz="24" w:themeColor="accent2" w:val="single"/>
        <w:left w:color="000000" w:space="0" w:sz="4" w:themeColor="text1" w:val="single"/>
        <w:bottom w:color="000000" w:space="0" w:sz="4" w:themeColor="text1" w:val="single"/>
        <w:right w:color="000000" w:space="0" w:sz="4" w:themeColor="text1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e6e6e6" w:themeFill="text1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c0504d" w:space="0" w:sz="24" w:themeColor="accent2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000000" w:themeFill="text1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000000" w:space="0" w:sz="4" w:themeColor="text1" w:themeShade="000099" w:val="single"/>
          <w:insideV w:space="0" w:sz="0" w:val="nil"/>
        </w:tcBorders>
        <w:shd w:color="auto" w:fill="000000" w:themeFill="text1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  <w:tblStylePr w:type="band1Vert">
      <w:tblPr/>
      <w:tcPr>
        <w:shd w:color="auto" w:fill="999999" w:themeFill="text1" w:themeFillTint="000066" w:val="clear"/>
      </w:tcPr>
    </w:tblStylePr>
    <w:tblStylePr w:type="band1Horz">
      <w:tblPr/>
      <w:tcPr>
        <w:shd w:color="auto" w:fill="808080" w:themeFill="text1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c0504d" w:space="0" w:sz="24" w:themeColor="accent2" w:val="single"/>
        <w:left w:color="4f81bd" w:space="0" w:sz="4" w:themeColor="accent1" w:val="single"/>
        <w:bottom w:color="4f81bd" w:space="0" w:sz="4" w:themeColor="accent1" w:val="single"/>
        <w:right w:color="4f81bd" w:space="0" w:sz="4" w:themeColor="accent1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edf2f8" w:themeFill="accent1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c0504d" w:space="0" w:sz="24" w:themeColor="accent2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2c4c74" w:themeFill="accent1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2c4c74" w:space="0" w:sz="4" w:themeColor="accent1" w:themeShade="000099" w:val="single"/>
          <w:insideV w:space="0" w:sz="0" w:val="nil"/>
        </w:tcBorders>
        <w:shd w:color="auto" w:fill="2c4c74" w:themeFill="accent1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2c4c74" w:themeFill="accent1" w:themeFillShade="000099" w:val="clear"/>
      </w:tcPr>
    </w:tblStylePr>
    <w:tblStylePr w:type="band1Vert">
      <w:tblPr/>
      <w:tcPr>
        <w:shd w:color="auto" w:fill="b8cce4" w:themeFill="accent1" w:themeFillTint="000066" w:val="clear"/>
      </w:tcPr>
    </w:tblStylePr>
    <w:tblStylePr w:type="band1Horz">
      <w:tblPr/>
      <w:tcPr>
        <w:shd w:color="auto" w:fill="a7bfde" w:themeFill="accent1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c0504d" w:space="0" w:sz="24" w:themeColor="accent2" w:val="single"/>
        <w:left w:color="c0504d" w:space="0" w:sz="4" w:themeColor="accent2" w:val="single"/>
        <w:bottom w:color="c0504d" w:space="0" w:sz="4" w:themeColor="accent2" w:val="single"/>
        <w:right w:color="c0504d" w:space="0" w:sz="4" w:themeColor="accent2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f8eded" w:themeFill="accent2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c0504d" w:space="0" w:sz="24" w:themeColor="accent2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772c2a" w:themeFill="accent2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772c2a" w:space="0" w:sz="4" w:themeColor="accent2" w:themeShade="000099" w:val="single"/>
          <w:insideV w:space="0" w:sz="0" w:val="nil"/>
        </w:tcBorders>
        <w:shd w:color="auto" w:fill="772c2a" w:themeFill="accent2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772c2a" w:themeFill="accent2" w:themeFillShade="000099" w:val="clear"/>
      </w:tcPr>
    </w:tblStylePr>
    <w:tblStylePr w:type="band1Vert">
      <w:tblPr/>
      <w:tcPr>
        <w:shd w:color="auto" w:fill="e5b8b7" w:themeFill="accent2" w:themeFillTint="000066" w:val="clear"/>
      </w:tcPr>
    </w:tblStylePr>
    <w:tblStylePr w:type="band1Horz">
      <w:tblPr/>
      <w:tcPr>
        <w:shd w:color="auto" w:fill="dfa7a6" w:themeFill="accent2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8064a2" w:space="0" w:sz="24" w:themeColor="accent4" w:val="single"/>
        <w:left w:color="9bbb59" w:space="0" w:sz="4" w:themeColor="accent3" w:val="single"/>
        <w:bottom w:color="9bbb59" w:space="0" w:sz="4" w:themeColor="accent3" w:val="single"/>
        <w:right w:color="9bbb59" w:space="0" w:sz="4" w:themeColor="accent3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f5f8ee" w:themeFill="accent3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8064a2" w:space="0" w:sz="24" w:themeColor="accent4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5e7530" w:themeFill="accent3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5e7530" w:space="0" w:sz="4" w:themeColor="accent3" w:themeShade="000099" w:val="single"/>
          <w:insideV w:space="0" w:sz="0" w:val="nil"/>
        </w:tcBorders>
        <w:shd w:color="auto" w:fill="5e7530" w:themeFill="accent3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5e7530" w:themeFill="accent3" w:themeFillShade="000099" w:val="clear"/>
      </w:tcPr>
    </w:tblStylePr>
    <w:tblStylePr w:type="band1Vert">
      <w:tblPr/>
      <w:tcPr>
        <w:shd w:color="auto" w:fill="d6e3bc" w:themeFill="accent3" w:themeFillTint="000066" w:val="clear"/>
      </w:tcPr>
    </w:tblStylePr>
    <w:tblStylePr w:type="band1Horz">
      <w:tblPr/>
      <w:tcPr>
        <w:shd w:color="auto" w:fill="cdddac" w:themeFill="accent3" w:themeFillTint="00007F" w:val="clear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9bbb59" w:space="0" w:sz="24" w:themeColor="accent3" w:val="single"/>
        <w:left w:color="8064a2" w:space="0" w:sz="4" w:themeColor="accent4" w:val="single"/>
        <w:bottom w:color="8064a2" w:space="0" w:sz="4" w:themeColor="accent4" w:val="single"/>
        <w:right w:color="8064a2" w:space="0" w:sz="4" w:themeColor="accent4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f2eff6" w:themeFill="accent4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9bbb59" w:space="0" w:sz="24" w:themeColor="accent3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4c3b62" w:themeFill="accent4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4c3b62" w:space="0" w:sz="4" w:themeColor="accent4" w:themeShade="000099" w:val="single"/>
          <w:insideV w:space="0" w:sz="0" w:val="nil"/>
        </w:tcBorders>
        <w:shd w:color="auto" w:fill="4c3b62" w:themeFill="accent4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4c3b62" w:themeFill="accent4" w:themeFillShade="000099" w:val="clear"/>
      </w:tcPr>
    </w:tblStylePr>
    <w:tblStylePr w:type="band1Vert">
      <w:tblPr/>
      <w:tcPr>
        <w:shd w:color="auto" w:fill="ccc0d9" w:themeFill="accent4" w:themeFillTint="000066" w:val="clear"/>
      </w:tcPr>
    </w:tblStylePr>
    <w:tblStylePr w:type="band1Horz">
      <w:tblPr/>
      <w:tcPr>
        <w:shd w:color="auto" w:fill="bfb1d0" w:themeFill="accent4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f79646" w:space="0" w:sz="24" w:themeColor="accent6" w:val="single"/>
        <w:left w:color="4bacc6" w:space="0" w:sz="4" w:themeColor="accent5" w:val="single"/>
        <w:bottom w:color="4bacc6" w:space="0" w:sz="4" w:themeColor="accent5" w:val="single"/>
        <w:right w:color="4bacc6" w:space="0" w:sz="4" w:themeColor="accent5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edf6f9" w:themeFill="accent5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79646" w:space="0" w:sz="24" w:themeColor="accent6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276a7c" w:themeFill="accent5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276a7c" w:space="0" w:sz="4" w:themeColor="accent5" w:themeShade="000099" w:val="single"/>
          <w:insideV w:space="0" w:sz="0" w:val="nil"/>
        </w:tcBorders>
        <w:shd w:color="auto" w:fill="276a7c" w:themeFill="accent5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276a7c" w:themeFill="accent5" w:themeFillShade="000099" w:val="clear"/>
      </w:tcPr>
    </w:tblStylePr>
    <w:tblStylePr w:type="band1Vert">
      <w:tblPr/>
      <w:tcPr>
        <w:shd w:color="auto" w:fill="b6dde8" w:themeFill="accent5" w:themeFillTint="000066" w:val="clear"/>
      </w:tcPr>
    </w:tblStylePr>
    <w:tblStylePr w:type="band1Horz">
      <w:tblPr/>
      <w:tcPr>
        <w:shd w:color="auto" w:fill="a5d5e2" w:themeFill="accent5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4bacc6" w:space="0" w:sz="24" w:themeColor="accent5" w:val="single"/>
        <w:left w:color="f79646" w:space="0" w:sz="4" w:themeColor="accent6" w:val="single"/>
        <w:bottom w:color="f79646" w:space="0" w:sz="4" w:themeColor="accent6" w:val="single"/>
        <w:right w:color="f79646" w:space="0" w:sz="4" w:themeColor="accent6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fef4ec" w:themeFill="accent6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4bacc6" w:space="0" w:sz="24" w:themeColor="accent5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b65608" w:themeFill="accent6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b65608" w:space="0" w:sz="4" w:themeColor="accent6" w:themeShade="000099" w:val="single"/>
          <w:insideV w:space="0" w:sz="0" w:val="nil"/>
        </w:tcBorders>
        <w:shd w:color="auto" w:fill="b65608" w:themeFill="accent6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b65608" w:themeFill="accent6" w:themeFillShade="000099" w:val="clear"/>
      </w:tcPr>
    </w:tblStylePr>
    <w:tblStylePr w:type="band1Vert">
      <w:tblPr/>
      <w:tcPr>
        <w:shd w:color="auto" w:fill="fbd4b4" w:themeFill="accent6" w:themeFillTint="000066" w:val="clear"/>
      </w:tcPr>
    </w:tblStylePr>
    <w:tblStylePr w:type="band1Horz">
      <w:tblPr/>
      <w:tcPr>
        <w:shd w:color="auto" w:fill="fbcaa2" w:themeFill="accent6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color="auto" w:fill="e6e6e6" w:themeFill="text1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9e3a38" w:themeFill="accent2" w:themeFillShade="0000CC" w:val="clear"/>
      </w:tcPr>
    </w:tblStylePr>
    <w:tblStylePr w:type="lastRow">
      <w:rPr>
        <w:b w:val="1"/>
        <w:bCs w:val="1"/>
        <w:color w:val="9e3a38" w:themeColor="accent2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band1Horz">
      <w:tblPr/>
      <w:tcPr>
        <w:shd w:color="auto" w:fill="cccccc" w:themeFill="text1" w:themeFillTint="000033" w:val="clear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color="auto" w:fill="edf2f8" w:themeFill="accent1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9e3a38" w:themeFill="accent2" w:themeFillShade="0000CC" w:val="clear"/>
      </w:tcPr>
    </w:tblStylePr>
    <w:tblStylePr w:type="lastRow">
      <w:rPr>
        <w:b w:val="1"/>
        <w:bCs w:val="1"/>
        <w:color w:val="9e3a38" w:themeColor="accent2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d3dfee" w:themeFill="accent1" w:themeFillTint="00003F" w:val="clear"/>
      </w:tcPr>
    </w:tblStylePr>
    <w:tblStylePr w:type="band1Horz">
      <w:tblPr/>
      <w:tcPr>
        <w:shd w:color="auto" w:fill="dbe5f1" w:themeFill="accent1" w:themeFillTint="000033" w:val="clear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color="auto" w:fill="f8eded" w:themeFill="accent2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9e3a38" w:themeFill="accent2" w:themeFillShade="0000CC" w:val="clear"/>
      </w:tcPr>
    </w:tblStylePr>
    <w:tblStylePr w:type="lastRow">
      <w:rPr>
        <w:b w:val="1"/>
        <w:bCs w:val="1"/>
        <w:color w:val="9e3a38" w:themeColor="accent2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  <w:tblStylePr w:type="band1Horz">
      <w:tblPr/>
      <w:tcPr>
        <w:shd w:color="auto" w:fill="f2dbdb" w:themeFill="accent2" w:themeFillTint="000033" w:val="clear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color="auto" w:fill="f5f8ee" w:themeFill="accent3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664e82" w:themeFill="accent4" w:themeFillShade="0000CC" w:val="clear"/>
      </w:tcPr>
    </w:tblStylePr>
    <w:tblStylePr w:type="lastRow">
      <w:rPr>
        <w:b w:val="1"/>
        <w:bCs w:val="1"/>
        <w:color w:val="664e82" w:themeColor="accent4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6eed5" w:themeFill="accent3" w:themeFillTint="00003F" w:val="clear"/>
      </w:tcPr>
    </w:tblStylePr>
    <w:tblStylePr w:type="band1Horz">
      <w:tblPr/>
      <w:tcPr>
        <w:shd w:color="auto" w:fill="eaf1dd" w:themeFill="accent3" w:themeFillTint="000033" w:val="clear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color="auto" w:fill="f2eff6" w:themeFill="accent4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7e9c40" w:themeFill="accent3" w:themeFillShade="0000CC" w:val="clear"/>
      </w:tcPr>
    </w:tblStylePr>
    <w:tblStylePr w:type="lastRow">
      <w:rPr>
        <w:b w:val="1"/>
        <w:bCs w:val="1"/>
        <w:color w:val="7e9c40" w:themeColor="accent3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dfd8e8" w:themeFill="accent4" w:themeFillTint="00003F" w:val="clear"/>
      </w:tcPr>
    </w:tblStylePr>
    <w:tblStylePr w:type="band1Horz">
      <w:tblPr/>
      <w:tcPr>
        <w:shd w:color="auto" w:fill="e5dfec" w:themeFill="accent4" w:themeFillTint="000033" w:val="clear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color="auto" w:fill="edf6f9" w:themeFill="accent5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f2730a" w:themeFill="accent6" w:themeFillShade="0000CC" w:val="clear"/>
      </w:tcPr>
    </w:tblStylePr>
    <w:tblStylePr w:type="lastRow">
      <w:rPr>
        <w:b w:val="1"/>
        <w:bCs w:val="1"/>
        <w:color w:val="f2730a" w:themeColor="accent6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d2eaf1" w:themeFill="accent5" w:themeFillTint="00003F" w:val="clear"/>
      </w:tcPr>
    </w:tblStylePr>
    <w:tblStylePr w:type="band1Horz">
      <w:tblPr/>
      <w:tcPr>
        <w:shd w:color="auto" w:fill="daeef3" w:themeFill="accent5" w:themeFillTint="000033" w:val="clear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color="auto" w:fill="fef4ec" w:themeFill="accent6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348da5" w:themeFill="accent5" w:themeFillShade="0000CC" w:val="clear"/>
      </w:tcPr>
    </w:tblStylePr>
    <w:tblStylePr w:type="lastRow">
      <w:rPr>
        <w:b w:val="1"/>
        <w:bCs w:val="1"/>
        <w:color w:val="348da5" w:themeColor="accent5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de4d0" w:themeFill="accent6" w:themeFillTint="00003F" w:val="clear"/>
      </w:tcPr>
    </w:tblStylePr>
    <w:tblStylePr w:type="band1Horz">
      <w:tblPr/>
      <w:tcPr>
        <w:shd w:color="auto" w:fill="fde9d9" w:themeFill="accent6" w:themeFillTint="000033" w:val="clear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color="ffffff" w:space="0" w:sz="4" w:themeColor="background1" w:val="single"/>
      </w:tblBorders>
    </w:tblPr>
    <w:tcPr>
      <w:shd w:color="auto" w:fill="cccccc" w:themeFill="text1" w:themeFillTint="000033" w:val="clear"/>
    </w:tcPr>
    <w:tblStylePr w:type="firstRow">
      <w:rPr>
        <w:b w:val="1"/>
        <w:bCs w:val="1"/>
      </w:rPr>
      <w:tblPr/>
      <w:tcPr>
        <w:shd w:color="auto" w:fill="999999" w:themeFill="text1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999999" w:themeFill="text1" w:themeFillTint="000066" w:val="clear"/>
      </w:tcPr>
    </w:tblStylePr>
    <w:tblStylePr w:type="firstCol">
      <w:rPr>
        <w:color w:val="ffffff" w:themeColor="background1"/>
      </w:rPr>
      <w:tblPr/>
      <w:tcPr>
        <w:shd w:color="auto" w:fill="000000" w:themeFill="text1" w:themeFillShade="0000BF" w:val="clear"/>
      </w:tcPr>
    </w:tblStylePr>
    <w:tblStylePr w:type="lastCol">
      <w:rPr>
        <w:color w:val="ffffff" w:themeColor="background1"/>
      </w:rPr>
      <w:tblPr/>
      <w:tcPr>
        <w:shd w:color="auto" w:fill="000000" w:themeFill="text1" w:themeFillShade="0000BF" w:val="clear"/>
      </w:tcPr>
    </w:tblStylePr>
    <w:tblStylePr w:type="band1Vert">
      <w:tblPr/>
      <w:tcPr>
        <w:shd w:color="auto" w:fill="808080" w:themeFill="text1" w:themeFillTint="00007F" w:val="clear"/>
      </w:tcPr>
    </w:tblStylePr>
    <w:tblStylePr w:type="band1Horz">
      <w:tblPr/>
      <w:tcPr>
        <w:shd w:color="auto" w:fill="808080" w:themeFill="text1" w:themeFillTint="00007F" w:val="clear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color="ffffff" w:space="0" w:sz="4" w:themeColor="background1" w:val="single"/>
      </w:tblBorders>
    </w:tblPr>
    <w:tcPr>
      <w:shd w:color="auto" w:fill="dbe5f1" w:themeFill="accent1" w:themeFillTint="000033" w:val="clear"/>
    </w:tcPr>
    <w:tblStylePr w:type="firstRow">
      <w:rPr>
        <w:b w:val="1"/>
        <w:bCs w:val="1"/>
      </w:rPr>
      <w:tblPr/>
      <w:tcPr>
        <w:shd w:color="auto" w:fill="b8cce4" w:themeFill="accent1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b8cce4" w:themeFill="accent1" w:themeFillTint="000066" w:val="clear"/>
      </w:tcPr>
    </w:tblStylePr>
    <w:tblStylePr w:type="firstCol">
      <w:rPr>
        <w:color w:val="ffffff" w:themeColor="background1"/>
      </w:rPr>
      <w:tblPr/>
      <w:tcPr>
        <w:shd w:color="auto" w:fill="365f91" w:themeFill="accent1" w:themeFillShade="0000BF" w:val="clear"/>
      </w:tcPr>
    </w:tblStylePr>
    <w:tblStylePr w:type="lastCol">
      <w:rPr>
        <w:color w:val="ffffff" w:themeColor="background1"/>
      </w:rPr>
      <w:tblPr/>
      <w:tcPr>
        <w:shd w:color="auto" w:fill="365f91" w:themeFill="accent1" w:themeFillShade="0000BF" w:val="clear"/>
      </w:tcPr>
    </w:tblStylePr>
    <w:tblStylePr w:type="band1Vert">
      <w:tblPr/>
      <w:tcPr>
        <w:shd w:color="auto" w:fill="a7bfde" w:themeFill="accent1" w:themeFillTint="00007F" w:val="clear"/>
      </w:tcPr>
    </w:tblStylePr>
    <w:tblStylePr w:type="band1Horz">
      <w:tblPr/>
      <w:tcPr>
        <w:shd w:color="auto" w:fill="a7bfde" w:themeFill="accent1" w:themeFillTint="00007F" w:val="clear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color="ffffff" w:space="0" w:sz="4" w:themeColor="background1" w:val="single"/>
      </w:tblBorders>
    </w:tblPr>
    <w:tcPr>
      <w:shd w:color="auto" w:fill="f2dbdb" w:themeFill="accent2" w:themeFillTint="000033" w:val="clear"/>
    </w:tcPr>
    <w:tblStylePr w:type="firstRow">
      <w:rPr>
        <w:b w:val="1"/>
        <w:bCs w:val="1"/>
      </w:rPr>
      <w:tblPr/>
      <w:tcPr>
        <w:shd w:color="auto" w:fill="e5b8b7" w:themeFill="accent2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e5b8b7" w:themeFill="accent2" w:themeFillTint="000066" w:val="clear"/>
      </w:tcPr>
    </w:tblStylePr>
    <w:tblStylePr w:type="firstCol">
      <w:rPr>
        <w:color w:val="ffffff" w:themeColor="background1"/>
      </w:rPr>
      <w:tblPr/>
      <w:tcPr>
        <w:shd w:color="auto" w:fill="943634" w:themeFill="accent2" w:themeFillShade="0000BF" w:val="clear"/>
      </w:tcPr>
    </w:tblStylePr>
    <w:tblStylePr w:type="lastCol">
      <w:rPr>
        <w:color w:val="ffffff" w:themeColor="background1"/>
      </w:rPr>
      <w:tblPr/>
      <w:tcPr>
        <w:shd w:color="auto" w:fill="943634" w:themeFill="accent2" w:themeFillShade="0000BF" w:val="clear"/>
      </w:tcPr>
    </w:tblStylePr>
    <w:tblStylePr w:type="band1Vert">
      <w:tblPr/>
      <w:tcPr>
        <w:shd w:color="auto" w:fill="dfa7a6" w:themeFill="accent2" w:themeFillTint="00007F" w:val="clear"/>
      </w:tcPr>
    </w:tblStylePr>
    <w:tblStylePr w:type="band1Horz">
      <w:tblPr/>
      <w:tcPr>
        <w:shd w:color="auto" w:fill="dfa7a6" w:themeFill="accent2" w:themeFillTint="00007F" w:val="clear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color="ffffff" w:space="0" w:sz="4" w:themeColor="background1" w:val="single"/>
      </w:tblBorders>
    </w:tblPr>
    <w:tcPr>
      <w:shd w:color="auto" w:fill="eaf1dd" w:themeFill="accent3" w:themeFillTint="000033" w:val="clear"/>
    </w:tcPr>
    <w:tblStylePr w:type="firstRow">
      <w:rPr>
        <w:b w:val="1"/>
        <w:bCs w:val="1"/>
      </w:rPr>
      <w:tblPr/>
      <w:tcPr>
        <w:shd w:color="auto" w:fill="d6e3bc" w:themeFill="accent3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d6e3bc" w:themeFill="accent3" w:themeFillTint="000066" w:val="clear"/>
      </w:tcPr>
    </w:tblStylePr>
    <w:tblStylePr w:type="firstCol">
      <w:rPr>
        <w:color w:val="ffffff" w:themeColor="background1"/>
      </w:rPr>
      <w:tblPr/>
      <w:tcPr>
        <w:shd w:color="auto" w:fill="76923c" w:themeFill="accent3" w:themeFillShade="0000BF" w:val="clear"/>
      </w:tcPr>
    </w:tblStylePr>
    <w:tblStylePr w:type="lastCol">
      <w:rPr>
        <w:color w:val="ffffff" w:themeColor="background1"/>
      </w:rPr>
      <w:tblPr/>
      <w:tcPr>
        <w:shd w:color="auto" w:fill="76923c" w:themeFill="accent3" w:themeFillShade="0000BF" w:val="clear"/>
      </w:tcPr>
    </w:tblStylePr>
    <w:tblStylePr w:type="band1Vert">
      <w:tblPr/>
      <w:tcPr>
        <w:shd w:color="auto" w:fill="cdddac" w:themeFill="accent3" w:themeFillTint="00007F" w:val="clear"/>
      </w:tcPr>
    </w:tblStylePr>
    <w:tblStylePr w:type="band1Horz">
      <w:tblPr/>
      <w:tcPr>
        <w:shd w:color="auto" w:fill="cdddac" w:themeFill="accent3" w:themeFillTint="00007F" w:val="clear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color="ffffff" w:space="0" w:sz="4" w:themeColor="background1" w:val="single"/>
      </w:tblBorders>
    </w:tblPr>
    <w:tcPr>
      <w:shd w:color="auto" w:fill="e5dfec" w:themeFill="accent4" w:themeFillTint="000033" w:val="clear"/>
    </w:tcPr>
    <w:tblStylePr w:type="firstRow">
      <w:rPr>
        <w:b w:val="1"/>
        <w:bCs w:val="1"/>
      </w:rPr>
      <w:tblPr/>
      <w:tcPr>
        <w:shd w:color="auto" w:fill="ccc0d9" w:themeFill="accent4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ccc0d9" w:themeFill="accent4" w:themeFillTint="000066" w:val="clear"/>
      </w:tcPr>
    </w:tblStylePr>
    <w:tblStylePr w:type="firstCol">
      <w:rPr>
        <w:color w:val="ffffff" w:themeColor="background1"/>
      </w:rPr>
      <w:tblPr/>
      <w:tcPr>
        <w:shd w:color="auto" w:fill="5f497a" w:themeFill="accent4" w:themeFillShade="0000BF" w:val="clear"/>
      </w:tcPr>
    </w:tblStylePr>
    <w:tblStylePr w:type="lastCol">
      <w:rPr>
        <w:color w:val="ffffff" w:themeColor="background1"/>
      </w:rPr>
      <w:tblPr/>
      <w:tcPr>
        <w:shd w:color="auto" w:fill="5f497a" w:themeFill="accent4" w:themeFillShade="0000BF" w:val="clear"/>
      </w:tcPr>
    </w:tblStylePr>
    <w:tblStylePr w:type="band1Vert">
      <w:tblPr/>
      <w:tcPr>
        <w:shd w:color="auto" w:fill="bfb1d0" w:themeFill="accent4" w:themeFillTint="00007F" w:val="clear"/>
      </w:tcPr>
    </w:tblStylePr>
    <w:tblStylePr w:type="band1Horz">
      <w:tblPr/>
      <w:tcPr>
        <w:shd w:color="auto" w:fill="bfb1d0" w:themeFill="accent4" w:themeFillTint="00007F" w:val="clear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color="ffffff" w:space="0" w:sz="4" w:themeColor="background1" w:val="single"/>
      </w:tblBorders>
    </w:tblPr>
    <w:tcPr>
      <w:shd w:color="auto" w:fill="daeef3" w:themeFill="accent5" w:themeFillTint="000033" w:val="clear"/>
    </w:tcPr>
    <w:tblStylePr w:type="firstRow">
      <w:rPr>
        <w:b w:val="1"/>
        <w:bCs w:val="1"/>
      </w:rPr>
      <w:tblPr/>
      <w:tcPr>
        <w:shd w:color="auto" w:fill="b6dde8" w:themeFill="accent5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b6dde8" w:themeFill="accent5" w:themeFillTint="000066" w:val="clear"/>
      </w:tcPr>
    </w:tblStylePr>
    <w:tblStylePr w:type="firstCol">
      <w:rPr>
        <w:color w:val="ffffff" w:themeColor="background1"/>
      </w:rPr>
      <w:tblPr/>
      <w:tcPr>
        <w:shd w:color="auto" w:fill="31849b" w:themeFill="accent5" w:themeFillShade="0000BF" w:val="clear"/>
      </w:tcPr>
    </w:tblStylePr>
    <w:tblStylePr w:type="lastCol">
      <w:rPr>
        <w:color w:val="ffffff" w:themeColor="background1"/>
      </w:rPr>
      <w:tblPr/>
      <w:tcPr>
        <w:shd w:color="auto" w:fill="31849b" w:themeFill="accent5" w:themeFillShade="0000BF" w:val="clear"/>
      </w:tcPr>
    </w:tblStylePr>
    <w:tblStylePr w:type="band1Vert">
      <w:tblPr/>
      <w:tcPr>
        <w:shd w:color="auto" w:fill="a5d5e2" w:themeFill="accent5" w:themeFillTint="00007F" w:val="clear"/>
      </w:tcPr>
    </w:tblStylePr>
    <w:tblStylePr w:type="band1Horz">
      <w:tblPr/>
      <w:tcPr>
        <w:shd w:color="auto" w:fill="a5d5e2" w:themeFill="accent5" w:themeFillTint="00007F" w:val="clear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color="ffffff" w:space="0" w:sz="4" w:themeColor="background1" w:val="single"/>
      </w:tblBorders>
    </w:tblPr>
    <w:tcPr>
      <w:shd w:color="auto" w:fill="fde9d9" w:themeFill="accent6" w:themeFillTint="000033" w:val="clear"/>
    </w:tcPr>
    <w:tblStylePr w:type="firstRow">
      <w:rPr>
        <w:b w:val="1"/>
        <w:bCs w:val="1"/>
      </w:rPr>
      <w:tblPr/>
      <w:tcPr>
        <w:shd w:color="auto" w:fill="fbd4b4" w:themeFill="accent6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fbd4b4" w:themeFill="accent6" w:themeFillTint="000066" w:val="clear"/>
      </w:tcPr>
    </w:tblStylePr>
    <w:tblStylePr w:type="firstCol">
      <w:rPr>
        <w:color w:val="ffffff" w:themeColor="background1"/>
      </w:rPr>
      <w:tblPr/>
      <w:tcPr>
        <w:shd w:color="auto" w:fill="e36c0a" w:themeFill="accent6" w:themeFillShade="0000BF" w:val="clear"/>
      </w:tcPr>
    </w:tblStylePr>
    <w:tblStylePr w:type="lastCol">
      <w:rPr>
        <w:color w:val="ffffff" w:themeColor="background1"/>
      </w:rPr>
      <w:tblPr/>
      <w:tcPr>
        <w:shd w:color="auto" w:fill="e36c0a" w:themeFill="accent6" w:themeFillShade="0000BF" w:val="clear"/>
      </w:tcPr>
    </w:tblStylePr>
    <w:tblStylePr w:type="band1Vert">
      <w:tblPr/>
      <w:tcPr>
        <w:shd w:color="auto" w:fill="fbcaa2" w:themeFill="accent6" w:themeFillTint="00007F" w:val="clear"/>
      </w:tcPr>
    </w:tblStylePr>
    <w:tblStylePr w:type="band1Horz">
      <w:tblPr/>
      <w:tcPr>
        <w:shd w:color="auto" w:fill="fbcaa2" w:themeFill="accent6" w:themeFillTint="00007F" w:val="clear"/>
      </w:tcPr>
    </w:tblStylePr>
  </w:style>
  <w:style w:type="table" w:styleId="a" w:customStyle="1">
    <w:basedOn w:val="TableNormal0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a0" w:customStyle="1">
    <w:basedOn w:val="TableNormal0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/>
    <w:rPr>
      <w:rFonts w:ascii="Calibri" w:cs="Calibri" w:eastAsia="Calibri" w:hAnsi="Calibri"/>
      <w:i w:val="1"/>
      <w:iCs w:val="1"/>
      <w:color w:val="4f81bd"/>
      <w:sz w:val="24"/>
      <w:szCs w:val="24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V/xEACtWye6uW6MzzBucdwns1Zw==">CgMxLjAyDmguYm1xZGF5cW5yeDczMg5oLnd0ZzBmbGZrOTRvajIOaC44eXZxM2VrZmI5dWoyDmgucTcycHh3dXI4MWNwOAByITFlZFZ6VEtvVWh0VnNyY3lta3lYYmFnYUdPX3RtTGt3VA==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2026-03-15T07:03:00Z</dcterms:created>
</cp:coreProperties>
</file>